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560" w:lineRule="exact"/>
        <w:jc w:val="center"/>
        <w:rPr>
          <w:rFonts w:hint="eastAsia" w:ascii="Times New Roman" w:hAnsi="Times New Roman" w:eastAsia="黑体" w:cs="Times New Roman"/>
          <w:color w:val="auto"/>
          <w:spacing w:val="31"/>
          <w:kern w:val="0"/>
          <w:sz w:val="52"/>
          <w:szCs w:val="52"/>
          <w:lang w:eastAsia="zh-CN"/>
        </w:rPr>
      </w:pPr>
      <w:bookmarkStart w:id="0" w:name="_bookmark1"/>
      <w:bookmarkEnd w:id="0"/>
    </w:p>
    <w:p>
      <w:pPr>
        <w:spacing w:line="560" w:lineRule="exact"/>
        <w:jc w:val="center"/>
        <w:rPr>
          <w:rFonts w:hint="eastAsia" w:ascii="Times New Roman" w:hAnsi="Times New Roman" w:eastAsia="黑体" w:cs="Times New Roman"/>
          <w:color w:val="auto"/>
          <w:spacing w:val="31"/>
          <w:kern w:val="0"/>
          <w:sz w:val="52"/>
          <w:szCs w:val="52"/>
          <w:lang w:eastAsia="zh-CN"/>
        </w:rPr>
      </w:pPr>
      <w:r>
        <w:rPr>
          <w:rFonts w:hint="eastAsia" w:ascii="Times New Roman" w:hAnsi="Times New Roman" w:eastAsia="黑体" w:cs="Times New Roman"/>
          <w:color w:val="auto"/>
          <w:spacing w:val="31"/>
          <w:kern w:val="0"/>
          <w:sz w:val="52"/>
          <w:szCs w:val="52"/>
          <w:lang w:eastAsia="zh-CN"/>
        </w:rPr>
        <w:t>2026年</w:t>
      </w:r>
      <w:r>
        <w:rPr>
          <w:rFonts w:hint="eastAsia" w:ascii="Times New Roman" w:hAnsi="Times New Roman" w:eastAsia="黑体" w:cs="Times New Roman"/>
          <w:color w:val="auto"/>
          <w:spacing w:val="31"/>
          <w:kern w:val="0"/>
          <w:sz w:val="52"/>
          <w:szCs w:val="52"/>
          <w:lang w:val="en-US" w:eastAsia="zh-CN"/>
        </w:rPr>
        <w:t>苏州市</w:t>
      </w:r>
    </w:p>
    <w:p>
      <w:pPr>
        <w:spacing w:line="276" w:lineRule="auto"/>
        <w:jc w:val="center"/>
        <w:rPr>
          <w:rFonts w:hint="eastAsia" w:cs="Times New Roman" w:asciiTheme="minorEastAsia" w:hAnsiTheme="minorEastAsia" w:eastAsiaTheme="minorEastAsia"/>
          <w:color w:val="auto"/>
          <w:sz w:val="56"/>
          <w:szCs w:val="96"/>
        </w:rPr>
      </w:pPr>
      <w:r>
        <w:rPr>
          <w:rFonts w:hint="eastAsia" w:ascii="Times New Roman" w:hAnsi="Times New Roman" w:eastAsia="黑体" w:cs="Times New Roman"/>
          <w:color w:val="auto"/>
          <w:spacing w:val="31"/>
          <w:kern w:val="0"/>
          <w:sz w:val="52"/>
          <w:szCs w:val="52"/>
          <w:lang w:eastAsia="zh-CN"/>
        </w:rPr>
        <w:t>中小学生</w:t>
      </w:r>
      <w:r>
        <w:rPr>
          <w:rFonts w:hint="eastAsia" w:ascii="Times New Roman" w:hAnsi="Times New Roman" w:eastAsia="黑体" w:cs="Times New Roman"/>
          <w:color w:val="auto"/>
          <w:spacing w:val="31"/>
          <w:kern w:val="0"/>
          <w:sz w:val="52"/>
          <w:szCs w:val="52"/>
          <w:lang w:val="en-US" w:eastAsia="zh-CN"/>
        </w:rPr>
        <w:t>人工智能素养大赛</w:t>
      </w:r>
    </w:p>
    <w:p>
      <w:pPr>
        <w:spacing w:line="360" w:lineRule="auto"/>
        <w:jc w:val="center"/>
        <w:rPr>
          <w:rFonts w:ascii="Times New Roman" w:hAnsi="Times New Roman" w:eastAsia="黑体" w:cs="Times New Roman"/>
          <w:color w:val="auto"/>
          <w:sz w:val="56"/>
          <w:szCs w:val="96"/>
        </w:rPr>
      </w:pPr>
    </w:p>
    <w:p>
      <w:pPr>
        <w:jc w:val="center"/>
        <w:rPr>
          <w:rFonts w:hint="default" w:ascii="Times New Roman" w:hAnsi="Times New Roman" w:eastAsia="黑体" w:cs="Times New Roman"/>
          <w:color w:val="auto"/>
          <w:sz w:val="44"/>
          <w:szCs w:val="44"/>
          <w:lang w:val="en-US" w:eastAsia="zh-CN"/>
        </w:rPr>
      </w:pPr>
      <w:r>
        <w:rPr>
          <w:rFonts w:hint="eastAsia" w:ascii="Times New Roman" w:hAnsi="Times New Roman" w:eastAsia="黑体" w:cs="Times New Roman"/>
          <w:color w:val="auto"/>
          <w:sz w:val="44"/>
          <w:szCs w:val="44"/>
          <w:lang w:val="en-US" w:eastAsia="zh-CN"/>
        </w:rPr>
        <w:t>人工智能</w:t>
      </w:r>
      <w:r>
        <w:rPr>
          <w:rFonts w:ascii="Times New Roman" w:hAnsi="Times New Roman" w:eastAsia="黑体" w:cs="Times New Roman"/>
          <w:color w:val="auto"/>
          <w:sz w:val="44"/>
          <w:szCs w:val="44"/>
        </w:rPr>
        <w:t>——</w:t>
      </w:r>
      <w:r>
        <w:rPr>
          <w:rFonts w:hint="eastAsia" w:ascii="Times New Roman" w:hAnsi="Times New Roman" w:eastAsia="黑体" w:cs="Times New Roman"/>
          <w:color w:val="auto"/>
          <w:sz w:val="44"/>
          <w:szCs w:val="44"/>
          <w:lang w:val="en-US" w:eastAsia="zh-CN"/>
        </w:rPr>
        <w:t>具身智能</w:t>
      </w:r>
    </w:p>
    <w:p>
      <w:pPr>
        <w:jc w:val="center"/>
        <w:rPr>
          <w:rFonts w:ascii="Times New Roman" w:hAnsi="Times New Roman" w:eastAsia="黑体" w:cs="Times New Roman"/>
          <w:color w:val="auto"/>
          <w:sz w:val="48"/>
          <w:szCs w:val="56"/>
        </w:rPr>
      </w:pPr>
    </w:p>
    <w:p>
      <w:pPr>
        <w:jc w:val="center"/>
        <w:rPr>
          <w:rFonts w:ascii="Times New Roman" w:hAnsi="Times New Roman" w:eastAsia="黑体" w:cs="Times New Roman"/>
          <w:color w:val="auto"/>
          <w:sz w:val="48"/>
          <w:szCs w:val="56"/>
        </w:rPr>
      </w:pPr>
    </w:p>
    <w:p>
      <w:pPr>
        <w:spacing w:line="360" w:lineRule="auto"/>
        <w:jc w:val="center"/>
        <w:rPr>
          <w:rFonts w:ascii="Times New Roman" w:hAnsi="Times New Roman" w:eastAsia="黑体" w:cs="Times New Roman"/>
          <w:color w:val="auto"/>
          <w:sz w:val="52"/>
          <w:szCs w:val="52"/>
          <w:lang w:bidi="zh-CN"/>
        </w:rPr>
      </w:pPr>
      <w:r>
        <w:rPr>
          <w:rFonts w:ascii="Times New Roman" w:hAnsi="Times New Roman" w:eastAsia="黑体" w:cs="Times New Roman"/>
          <w:color w:val="auto"/>
          <w:sz w:val="52"/>
          <w:szCs w:val="52"/>
          <w:lang w:bidi="zh-CN"/>
        </w:rPr>
        <w:t>规</w:t>
      </w:r>
    </w:p>
    <w:p>
      <w:pPr>
        <w:spacing w:line="360" w:lineRule="auto"/>
        <w:jc w:val="center"/>
        <w:rPr>
          <w:rFonts w:ascii="Times New Roman" w:hAnsi="Times New Roman" w:eastAsia="黑体" w:cs="Times New Roman"/>
          <w:color w:val="auto"/>
          <w:sz w:val="52"/>
          <w:szCs w:val="52"/>
          <w:lang w:bidi="zh-CN"/>
        </w:rPr>
      </w:pPr>
    </w:p>
    <w:p>
      <w:pPr>
        <w:spacing w:line="360" w:lineRule="auto"/>
        <w:jc w:val="center"/>
        <w:rPr>
          <w:rFonts w:ascii="Times New Roman" w:hAnsi="Times New Roman" w:eastAsia="黑体" w:cs="Times New Roman"/>
          <w:color w:val="auto"/>
          <w:sz w:val="72"/>
          <w:szCs w:val="72"/>
          <w:lang w:bidi="zh-CN"/>
        </w:rPr>
      </w:pPr>
      <w:r>
        <w:rPr>
          <w:rFonts w:ascii="Times New Roman" w:hAnsi="Times New Roman" w:eastAsia="黑体" w:cs="Times New Roman"/>
          <w:color w:val="auto"/>
          <w:sz w:val="52"/>
          <w:szCs w:val="52"/>
          <w:lang w:bidi="zh-CN"/>
        </w:rPr>
        <w:t>则</w:t>
      </w:r>
    </w:p>
    <w:p>
      <w:pPr>
        <w:spacing w:line="360" w:lineRule="auto"/>
        <w:jc w:val="center"/>
        <w:rPr>
          <w:rFonts w:ascii="Times New Roman" w:hAnsi="Times New Roman" w:eastAsia="黑体" w:cs="Times New Roman"/>
          <w:color w:val="auto"/>
          <w:sz w:val="72"/>
          <w:szCs w:val="72"/>
          <w:lang w:bidi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黑体" w:hAnsi="黑体" w:eastAsia="黑体" w:cs="黑体"/>
          <w:color w:val="auto"/>
          <w:sz w:val="44"/>
          <w:szCs w:val="44"/>
          <w:lang w:val="en-US" w:eastAsia="zh-CN"/>
        </w:rPr>
      </w:pPr>
      <w:r>
        <w:rPr>
          <w:rFonts w:hint="eastAsia" w:ascii="黑体" w:hAnsi="黑体" w:eastAsia="黑体" w:cs="黑体"/>
          <w:color w:val="auto"/>
          <w:sz w:val="44"/>
          <w:szCs w:val="44"/>
          <w:lang w:val="en-US" w:eastAsia="zh-CN"/>
        </w:rPr>
        <w:t>苏州市电化教育馆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宋体" w:hAnsi="宋体" w:eastAsia="宋体" w:cs="Times New Roman"/>
          <w:snapToGrid/>
          <w:color w:val="auto"/>
          <w:kern w:val="2"/>
          <w:sz w:val="44"/>
          <w:szCs w:val="52"/>
        </w:rPr>
        <w:sectPr>
          <w:footerReference r:id="rId3" w:type="default"/>
          <w:pgSz w:w="11910" w:h="16840"/>
          <w:pgMar w:top="2268" w:right="1134" w:bottom="2268" w:left="1134" w:header="0" w:footer="981" w:gutter="0"/>
          <w:pgNumType w:fmt="numberInDash"/>
          <w:cols w:space="0" w:num="1"/>
        </w:sectPr>
      </w:pPr>
      <w:r>
        <w:rPr>
          <w:rFonts w:hint="eastAsia" w:ascii="黑体" w:hAnsi="黑体" w:eastAsia="黑体" w:cs="黑体"/>
          <w:snapToGrid/>
          <w:color w:val="auto"/>
          <w:kern w:val="2"/>
          <w:sz w:val="44"/>
          <w:szCs w:val="44"/>
        </w:rPr>
        <w:t>202</w:t>
      </w:r>
      <w:r>
        <w:rPr>
          <w:rFonts w:hint="eastAsia" w:ascii="黑体" w:hAnsi="黑体" w:eastAsia="黑体" w:cs="黑体"/>
          <w:snapToGrid/>
          <w:color w:val="auto"/>
          <w:kern w:val="2"/>
          <w:sz w:val="44"/>
          <w:szCs w:val="44"/>
          <w:lang w:val="en-US" w:eastAsia="zh-CN"/>
        </w:rPr>
        <w:t>6</w:t>
      </w:r>
      <w:r>
        <w:rPr>
          <w:rFonts w:hint="eastAsia" w:ascii="黑体" w:hAnsi="黑体" w:eastAsia="黑体" w:cs="黑体"/>
          <w:snapToGrid/>
          <w:color w:val="auto"/>
          <w:kern w:val="2"/>
          <w:sz w:val="44"/>
          <w:szCs w:val="44"/>
        </w:rPr>
        <w:t>年</w:t>
      </w:r>
      <w:r>
        <w:rPr>
          <w:rFonts w:hint="eastAsia" w:ascii="黑体" w:hAnsi="黑体" w:eastAsia="黑体" w:cs="黑体"/>
          <w:snapToGrid/>
          <w:color w:val="auto"/>
          <w:kern w:val="2"/>
          <w:sz w:val="44"/>
          <w:szCs w:val="44"/>
          <w:lang w:val="en-US" w:eastAsia="zh-CN"/>
        </w:rPr>
        <w:t>3</w:t>
      </w:r>
      <w:r>
        <w:rPr>
          <w:rFonts w:hint="eastAsia" w:ascii="黑体" w:hAnsi="黑体" w:eastAsia="黑体" w:cs="黑体"/>
          <w:snapToGrid/>
          <w:color w:val="auto"/>
          <w:kern w:val="2"/>
          <w:sz w:val="44"/>
          <w:szCs w:val="44"/>
        </w:rPr>
        <w:t>月</w:t>
      </w:r>
    </w:p>
    <w:p>
      <w:pPr>
        <w:widowControl/>
        <w:kinsoku w:val="0"/>
        <w:autoSpaceDE w:val="0"/>
        <w:autoSpaceDN w:val="0"/>
        <w:adjustRightInd w:val="0"/>
        <w:snapToGrid w:val="0"/>
        <w:spacing w:line="560" w:lineRule="exact"/>
        <w:ind w:firstLine="640" w:firstLineChars="200"/>
        <w:jc w:val="both"/>
        <w:textAlignment w:val="baseline"/>
        <w:outlineLvl w:val="0"/>
        <w:rPr>
          <w:rFonts w:hint="eastAsia" w:ascii="Times New Roman" w:hAnsi="Times New Roman" w:eastAsia="黑体" w:cs="Times New Roman"/>
          <w:snapToGrid w:val="0"/>
          <w:color w:val="auto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黑体" w:cs="Times New Roman"/>
          <w:snapToGrid w:val="0"/>
          <w:color w:val="auto"/>
          <w:kern w:val="0"/>
          <w:sz w:val="32"/>
          <w:szCs w:val="32"/>
          <w:lang w:val="en-US" w:eastAsia="zh-CN"/>
        </w:rPr>
        <w:t>一、总则</w:t>
      </w:r>
    </w:p>
    <w:p>
      <w:pPr>
        <w:widowControl/>
        <w:kinsoku w:val="0"/>
        <w:autoSpaceDE w:val="0"/>
        <w:autoSpaceDN w:val="0"/>
        <w:adjustRightInd w:val="0"/>
        <w:snapToGrid w:val="0"/>
        <w:spacing w:line="560" w:lineRule="exact"/>
        <w:ind w:firstLine="640" w:firstLineChars="200"/>
        <w:jc w:val="both"/>
        <w:textAlignment w:val="baseline"/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本次具身智能挑战赛以“智能感知・精准执行・场景互动”为核心导向，聚焦具身智能技术在日常生活场景中的落地应用与综合比拼。赛事通过设置水果、饮品、工具等贴近生活的识别与操作场景，要求参赛机器人依托多模态感知技术完成精准识别，快速响应并执行抓取、分拣、搬运等动作，同时结合电子标签数据读取、手势识别与策略应答等互动任务，全方位考核机器人的环境感知、语义理解、动作规划与精准执行能力，旨在推动机器人从“被动执行”向“主动感知— 智能决策—精准行动” 的具身智能形态升级。</w:t>
      </w:r>
    </w:p>
    <w:p>
      <w:pPr>
        <w:widowControl/>
        <w:kinsoku w:val="0"/>
        <w:autoSpaceDE w:val="0"/>
        <w:autoSpaceDN w:val="0"/>
        <w:adjustRightInd w:val="0"/>
        <w:snapToGrid w:val="0"/>
        <w:spacing w:line="560" w:lineRule="exact"/>
        <w:ind w:firstLine="640" w:firstLineChars="200"/>
        <w:jc w:val="both"/>
        <w:textAlignment w:val="baseline"/>
        <w:outlineLvl w:val="0"/>
        <w:rPr>
          <w:rFonts w:hint="default" w:ascii="Times New Roman" w:hAnsi="Times New Roman" w:eastAsia="黑体" w:cs="Times New Roman"/>
          <w:snapToGrid w:val="0"/>
          <w:color w:val="auto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黑体" w:cs="Times New Roman"/>
          <w:snapToGrid w:val="0"/>
          <w:color w:val="auto"/>
          <w:kern w:val="0"/>
          <w:sz w:val="32"/>
          <w:szCs w:val="32"/>
          <w:lang w:val="en-US" w:eastAsia="zh-CN"/>
        </w:rPr>
        <w:t>二、参赛机器人规范</w:t>
      </w:r>
    </w:p>
    <w:p>
      <w:pPr>
        <w:widowControl/>
        <w:kinsoku w:val="0"/>
        <w:autoSpaceDE w:val="0"/>
        <w:autoSpaceDN w:val="0"/>
        <w:adjustRightInd w:val="0"/>
        <w:snapToGrid w:val="0"/>
        <w:spacing w:line="560" w:lineRule="exact"/>
        <w:ind w:firstLine="320" w:firstLineChars="1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（一）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硬件配置要求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1.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控制单元：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每台机器人仅允许配置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1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个可编程处理器，且主控芯片必须为国产型号，严禁使用进口主控芯片。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2.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动力系统：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直流电机限定使用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2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个，伺服电机最大配置数量为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2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个，不得额外增加动力单元。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3.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感知系统：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传感器的选型、数量及安装方式无限制，参赛队可根据任务需求自主配置。</w:t>
      </w:r>
    </w:p>
    <w:p>
      <w:pPr>
        <w:widowControl/>
        <w:kinsoku w:val="0"/>
        <w:autoSpaceDE w:val="0"/>
        <w:autoSpaceDN w:val="0"/>
        <w:adjustRightInd w:val="0"/>
        <w:snapToGrid w:val="0"/>
        <w:spacing w:line="560" w:lineRule="exact"/>
        <w:ind w:firstLine="320" w:firstLineChars="1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（二）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供电系统规范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1.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供电类型：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仅限使用锂电池供电，禁止使用干电池、镍镉电池等其他类型电池。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2.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电压限制：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锂电池额定电压不得超过9V，电池需具备防短路、防漏液、防过热等安全防护措施。</w:t>
      </w:r>
    </w:p>
    <w:p>
      <w:pPr>
        <w:widowControl/>
        <w:kinsoku w:val="0"/>
        <w:autoSpaceDE w:val="0"/>
        <w:autoSpaceDN w:val="0"/>
        <w:adjustRightInd w:val="0"/>
        <w:snapToGrid w:val="0"/>
        <w:spacing w:line="560" w:lineRule="exact"/>
        <w:ind w:firstLine="320" w:firstLineChars="1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（三）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外观装饰要求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0" w:firstLineChars="2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允许对机器人进行个性化装饰，但装饰部件不得影响机器人的运动性能、感知功能及任务执行效率。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0" w:firstLineChars="2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装饰不得包含尖锐边角、易燃材料等安全隐患，不得干扰其他参赛队伍的比赛进程。</w:t>
      </w:r>
    </w:p>
    <w:p>
      <w:pPr>
        <w:widowControl/>
        <w:kinsoku w:val="0"/>
        <w:autoSpaceDE w:val="0"/>
        <w:autoSpaceDN w:val="0"/>
        <w:adjustRightInd w:val="0"/>
        <w:snapToGrid w:val="0"/>
        <w:spacing w:line="560" w:lineRule="exact"/>
        <w:ind w:firstLine="320" w:firstLineChars="1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（四）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软件要求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0" w:firstLineChars="2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编程平台支持图形化编程，支持在Windows、Loongnix等系统上安装客户端使用，所有动作程序均需参赛队员自行编写。</w:t>
      </w:r>
    </w:p>
    <w:p>
      <w:pPr>
        <w:widowControl/>
        <w:kinsoku w:val="0"/>
        <w:autoSpaceDE w:val="0"/>
        <w:autoSpaceDN w:val="0"/>
        <w:adjustRightInd w:val="0"/>
        <w:snapToGrid w:val="0"/>
        <w:spacing w:line="560" w:lineRule="exact"/>
        <w:ind w:firstLine="640" w:firstLineChars="200"/>
        <w:jc w:val="both"/>
        <w:textAlignment w:val="baseline"/>
        <w:outlineLvl w:val="0"/>
        <w:rPr>
          <w:rFonts w:hint="eastAsia" w:ascii="Times New Roman" w:hAnsi="Times New Roman" w:eastAsia="黑体" w:cs="Times New Roman"/>
          <w:snapToGrid w:val="0"/>
          <w:color w:val="auto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黑体" w:cs="Times New Roman"/>
          <w:snapToGrid w:val="0"/>
          <w:color w:val="auto"/>
          <w:kern w:val="0"/>
          <w:sz w:val="32"/>
          <w:szCs w:val="32"/>
          <w:lang w:val="en-US" w:eastAsia="zh-CN"/>
        </w:rPr>
        <w:t>三、竞赛场地及要求</w:t>
      </w:r>
    </w:p>
    <w:p>
      <w:pPr>
        <w:widowControl/>
        <w:kinsoku w:val="0"/>
        <w:autoSpaceDE w:val="0"/>
        <w:autoSpaceDN w:val="0"/>
        <w:adjustRightInd w:val="0"/>
        <w:snapToGrid w:val="0"/>
        <w:spacing w:line="560" w:lineRule="exact"/>
        <w:ind w:firstLine="320" w:firstLineChars="1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（一）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场地总体规格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1.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场地尺寸：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长方形结构，长2800mm×宽1800mm，四周无围栏，刀刮布材质。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2.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尺寸误差：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场地实际尺寸允许±10mm的误差，参赛队在设计机器人时需充分考虑适配性。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both"/>
        <w:textAlignment w:val="baseline"/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3.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适用组别：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小学组、初中组、高中（中职）组使用统一规格场地，区域分布一致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，如图1所示。</w:t>
      </w:r>
    </w:p>
    <w:p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ind w:firstLine="420" w:firstLineChars="200"/>
        <w:jc w:val="center"/>
        <w:textAlignment w:val="baseline"/>
        <w:rPr>
          <w:rFonts w:hint="default" w:ascii="仿宋" w:hAnsi="仿宋" w:eastAsia="仿宋" w:cs="仿宋"/>
          <w:sz w:val="24"/>
          <w:szCs w:val="32"/>
          <w:lang w:val="en-US" w:eastAsia="zh-CN"/>
        </w:rPr>
      </w:pPr>
      <w:r>
        <w:drawing>
          <wp:inline distT="0" distB="0" distL="114300" distR="114300">
            <wp:extent cx="4721860" cy="3037840"/>
            <wp:effectExtent l="0" t="0" r="2540" b="10160"/>
            <wp:docPr id="25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72186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jc w:val="center"/>
        <w:textAlignment w:val="baseline"/>
        <w:rPr>
          <w:rFonts w:hint="eastAsia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  <w:t>图1 场地示意图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320" w:firstLineChars="1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（二）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功能区域详细说明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1.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起始区</w:t>
      </w: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：</w:t>
      </w:r>
      <w:r>
        <w:rPr>
          <w:rFonts w:hint="default" w:ascii="Times New Roman" w:hAnsi="Times New Roman" w:eastAsia="仿宋_GB2312" w:cs="Times New Roman"/>
          <w:snapToGrid w:val="0"/>
          <w:color w:val="auto"/>
          <w:kern w:val="0"/>
          <w:sz w:val="32"/>
          <w:szCs w:val="32"/>
          <w:lang w:val="en-US" w:eastAsia="zh-CN"/>
        </w:rPr>
        <w:t>场地上有1个长350mm*宽300mm长方形区域，表示机器人启动与完全返回位置，机器人任意部分垂直投影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不允许超出此起始区，在赛前可放置在区域内任意位置。如图2所示（此区域上有文字标识）。</w:t>
      </w:r>
    </w:p>
    <w:p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ind w:firstLine="480" w:firstLineChars="200"/>
        <w:jc w:val="center"/>
        <w:textAlignment w:val="baseline"/>
        <w:rPr>
          <w:rFonts w:hint="default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32"/>
          <w:lang w:val="en-US" w:eastAsia="zh-CN"/>
        </w:rPr>
        <w:drawing>
          <wp:inline distT="0" distB="0" distL="114300" distR="114300">
            <wp:extent cx="1731010" cy="1489710"/>
            <wp:effectExtent l="0" t="0" r="2540" b="15240"/>
            <wp:docPr id="2" name="图片 2" descr="704497e39a51a64fbbb99c36384a8e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704497e39a51a64fbbb99c36384a8e2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731010" cy="1489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ind w:firstLine="482" w:firstLineChars="200"/>
        <w:jc w:val="center"/>
        <w:textAlignment w:val="baseline"/>
        <w:rPr>
          <w:rFonts w:hint="default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default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  <w:t>图2 机器人起始区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2.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场景区</w:t>
      </w: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场地上共计3个长300mm*宽200mm长方形区域，分别为A01（水果场景区）*1、A02（饮品场景区）*1、A03（工具场景区）*1。如图3、4、5所示（此区域上有文字标识）。</w:t>
      </w:r>
    </w:p>
    <w:p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ind w:firstLine="480" w:firstLineChars="200"/>
        <w:jc w:val="left"/>
        <w:textAlignment w:val="baseline"/>
        <w:rPr>
          <w:rFonts w:hint="default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default" w:ascii="仿宋" w:hAnsi="仿宋" w:eastAsia="仿宋" w:cs="仿宋"/>
          <w:sz w:val="24"/>
          <w:szCs w:val="32"/>
          <w:lang w:val="en-US" w:eastAsia="zh-CN"/>
        </w:rPr>
        <w:drawing>
          <wp:inline distT="0" distB="0" distL="114300" distR="114300">
            <wp:extent cx="5071110" cy="1250315"/>
            <wp:effectExtent l="0" t="0" r="15240" b="6985"/>
            <wp:docPr id="3" name="图片 3" descr="演示文稿1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演示文稿1_01"/>
                    <pic:cNvPicPr>
                      <a:picLocks noChangeAspect="1"/>
                    </pic:cNvPicPr>
                  </pic:nvPicPr>
                  <pic:blipFill>
                    <a:blip r:embed="rId8"/>
                    <a:srcRect l="2062" t="25482" r="1652" b="32319"/>
                    <a:stretch>
                      <a:fillRect/>
                    </a:stretch>
                  </pic:blipFill>
                  <pic:spPr>
                    <a:xfrm>
                      <a:off x="0" y="0"/>
                      <a:ext cx="5071110" cy="1250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3.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类别标志*区</w:t>
      </w: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场地上有2个直径100mm的圆形区域，分别为B01（类别标志A区）*1、B02（类别标志B区）*1，如图6、7所示（此区域上有字母标识）。</w:t>
      </w:r>
    </w:p>
    <w:p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ind w:firstLine="480" w:firstLineChars="200"/>
        <w:jc w:val="center"/>
        <w:textAlignment w:val="baseline"/>
        <w:rPr>
          <w:rFonts w:hint="default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default" w:ascii="仿宋" w:hAnsi="仿宋" w:eastAsia="仿宋" w:cs="仿宋"/>
          <w:sz w:val="24"/>
          <w:szCs w:val="32"/>
          <w:lang w:val="en-US" w:eastAsia="zh-CN"/>
        </w:rPr>
        <w:drawing>
          <wp:inline distT="0" distB="0" distL="114300" distR="114300">
            <wp:extent cx="3347085" cy="1595755"/>
            <wp:effectExtent l="0" t="0" r="5715" b="4445"/>
            <wp:docPr id="4" name="图片 4" descr="演示文稿1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演示文稿1_02"/>
                    <pic:cNvPicPr>
                      <a:picLocks noChangeAspect="1"/>
                    </pic:cNvPicPr>
                  </pic:nvPicPr>
                  <pic:blipFill>
                    <a:blip r:embed="rId9"/>
                    <a:srcRect l="20147" t="20424" r="16301" b="25718"/>
                    <a:stretch>
                      <a:fillRect/>
                    </a:stretch>
                  </pic:blipFill>
                  <pic:spPr>
                    <a:xfrm>
                      <a:off x="0" y="0"/>
                      <a:ext cx="3347085" cy="1595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 xml:space="preserve">4. 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*水果区</w:t>
      </w: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场地上有2个直径100mm的圆形区域，分别为C01（A水果区）*1、C04（B水果区）*1，如图8、9所示（此区域旁有文字标识）。</w:t>
      </w:r>
    </w:p>
    <w:p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ind w:firstLine="480" w:firstLineChars="200"/>
        <w:jc w:val="center"/>
        <w:textAlignment w:val="baseline"/>
        <w:rPr>
          <w:rFonts w:hint="default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default" w:ascii="仿宋" w:hAnsi="仿宋" w:eastAsia="仿宋" w:cs="仿宋"/>
          <w:sz w:val="24"/>
          <w:szCs w:val="32"/>
          <w:lang w:val="en-US" w:eastAsia="zh-CN"/>
        </w:rPr>
        <w:drawing>
          <wp:inline distT="0" distB="0" distL="114300" distR="114300">
            <wp:extent cx="3810000" cy="1786890"/>
            <wp:effectExtent l="0" t="0" r="0" b="3810"/>
            <wp:docPr id="5" name="图片 5" descr="演示文稿1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演示文稿1_03"/>
                    <pic:cNvPicPr>
                      <a:picLocks noChangeAspect="1"/>
                    </pic:cNvPicPr>
                  </pic:nvPicPr>
                  <pic:blipFill>
                    <a:blip r:embed="rId10"/>
                    <a:srcRect l="10200" t="16245" r="10514" b="17660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178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" w:cs="Times New Roman"/>
          <w:b w:val="0"/>
          <w:bCs w:val="0"/>
          <w:snapToGrid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5.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*饮品区</w:t>
      </w: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场地上有2个直径100mm的圆形区域，分别为C02（A饮品区）*1、C05（B饮品区）*1，如图10、11所示（此区域旁有文字标识）。</w:t>
      </w:r>
    </w:p>
    <w:p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ind w:firstLine="480" w:firstLineChars="200"/>
        <w:jc w:val="center"/>
        <w:textAlignment w:val="baseline"/>
        <w:rPr>
          <w:rFonts w:hint="default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default" w:ascii="仿宋" w:hAnsi="仿宋" w:eastAsia="仿宋" w:cs="仿宋"/>
          <w:sz w:val="24"/>
          <w:szCs w:val="32"/>
          <w:lang w:val="en-US" w:eastAsia="zh-CN"/>
        </w:rPr>
        <w:drawing>
          <wp:inline distT="0" distB="0" distL="114300" distR="114300">
            <wp:extent cx="3724910" cy="2001520"/>
            <wp:effectExtent l="0" t="0" r="8890" b="17780"/>
            <wp:docPr id="6" name="图片 6" descr="演示文稿1_04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演示文稿1_04(1)"/>
                    <pic:cNvPicPr>
                      <a:picLocks noChangeAspect="1"/>
                    </pic:cNvPicPr>
                  </pic:nvPicPr>
                  <pic:blipFill>
                    <a:blip r:embed="rId11"/>
                    <a:srcRect l="13757" t="14638" r="15517" b="17810"/>
                    <a:stretch>
                      <a:fillRect/>
                    </a:stretch>
                  </pic:blipFill>
                  <pic:spPr>
                    <a:xfrm>
                      <a:off x="0" y="0"/>
                      <a:ext cx="3724910" cy="2001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 xml:space="preserve">6. 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*工具区</w:t>
      </w: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场地上有2个直径100mm的圆形区域，分别为C03（A工具区）*1、C06（B工具区）*1，如图12、13所示（此区域旁有文字标识）。</w:t>
      </w:r>
    </w:p>
    <w:p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ind w:firstLine="480" w:firstLineChars="200"/>
        <w:jc w:val="center"/>
        <w:textAlignment w:val="baseline"/>
        <w:rPr>
          <w:rFonts w:hint="default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default" w:ascii="仿宋" w:hAnsi="仿宋" w:eastAsia="仿宋" w:cs="仿宋"/>
          <w:sz w:val="24"/>
          <w:szCs w:val="32"/>
          <w:lang w:val="en-US" w:eastAsia="zh-CN"/>
        </w:rPr>
        <w:drawing>
          <wp:inline distT="0" distB="0" distL="114300" distR="114300">
            <wp:extent cx="5115560" cy="1183640"/>
            <wp:effectExtent l="0" t="0" r="8890" b="16510"/>
            <wp:docPr id="7" name="图片 7" descr="演示文稿1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演示文稿1_05"/>
                    <pic:cNvPicPr>
                      <a:picLocks noChangeAspect="1"/>
                    </pic:cNvPicPr>
                  </pic:nvPicPr>
                  <pic:blipFill>
                    <a:blip r:embed="rId12"/>
                    <a:srcRect l="1821" t="29640" r="1049" b="30411"/>
                    <a:stretch>
                      <a:fillRect/>
                    </a:stretch>
                  </pic:blipFill>
                  <pic:spPr>
                    <a:xfrm>
                      <a:off x="0" y="0"/>
                      <a:ext cx="5115560" cy="1183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7.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手势识别区</w:t>
      </w: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场地上有1个长250mm*宽200mm的长方形区域，表示为C07(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手势识别区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)，如图14所示（此区域上有文字标识）。</w:t>
      </w:r>
    </w:p>
    <w:p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ind w:firstLine="420" w:firstLineChars="200"/>
        <w:jc w:val="center"/>
        <w:textAlignment w:val="baseline"/>
        <w:rPr>
          <w:rFonts w:hint="default" w:ascii="仿宋" w:hAnsi="仿宋" w:eastAsia="仿宋" w:cs="仿宋"/>
          <w:sz w:val="24"/>
          <w:szCs w:val="32"/>
          <w:lang w:val="en-US" w:eastAsia="zh-CN"/>
        </w:rPr>
      </w:pPr>
      <w:r>
        <w:drawing>
          <wp:inline distT="0" distB="0" distL="114300" distR="114300">
            <wp:extent cx="1223645" cy="977900"/>
            <wp:effectExtent l="0" t="0" r="14605" b="12700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23645" cy="97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ind w:firstLine="482" w:firstLineChars="200"/>
        <w:jc w:val="center"/>
        <w:textAlignment w:val="baseline"/>
        <w:rPr>
          <w:rFonts w:hint="default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  <w:t>图14 手势识别区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320" w:firstLineChars="1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（三）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赛场环境条件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1.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光照要求：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比赛场地为低照度环境，参赛机器人需具备抗光照干扰的感知能力，确保识别任务的准确性。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2.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环境适配：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赛场可能存在地面轻微不平整、细小裂缝、光照强度波动等不确定因素，参赛队需设计相应的应对方案，保证机器人的环境适应性。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320" w:firstLineChars="100"/>
        <w:jc w:val="both"/>
        <w:textAlignment w:val="baseline"/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（四）任务道具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1.水果场景区任务道具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道具清单：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苹果、橙子、柿子、桃子、山竹、菠萝，共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6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种，每种各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1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个。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材质与形态：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泡沫材质1:1实物仿真模型，无尖锐边角，重量（8g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—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25.5g），具体参数如下：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74"/>
        <w:gridCol w:w="3407"/>
        <w:gridCol w:w="284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6" w:hRule="atLeast"/>
        </w:trPr>
        <w:tc>
          <w:tcPr>
            <w:tcW w:w="2274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道具名称</w:t>
            </w:r>
          </w:p>
        </w:tc>
        <w:tc>
          <w:tcPr>
            <w:tcW w:w="3407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尺寸参数</w:t>
            </w:r>
          </w:p>
        </w:tc>
        <w:tc>
          <w:tcPr>
            <w:tcW w:w="2841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重量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74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苹果</w:t>
            </w:r>
          </w:p>
        </w:tc>
        <w:tc>
          <w:tcPr>
            <w:tcW w:w="3407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高度80mm，直径70mm</w:t>
            </w:r>
          </w:p>
        </w:tc>
        <w:tc>
          <w:tcPr>
            <w:tcW w:w="2841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17g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74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橙子</w:t>
            </w:r>
          </w:p>
        </w:tc>
        <w:tc>
          <w:tcPr>
            <w:tcW w:w="3407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长度55mm,直径75mm</w:t>
            </w:r>
          </w:p>
        </w:tc>
        <w:tc>
          <w:tcPr>
            <w:tcW w:w="2841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15.5g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74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柿子</w:t>
            </w:r>
          </w:p>
        </w:tc>
        <w:tc>
          <w:tcPr>
            <w:tcW w:w="3407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高度60mm，直径70mm</w:t>
            </w:r>
          </w:p>
        </w:tc>
        <w:tc>
          <w:tcPr>
            <w:tcW w:w="2841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11g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74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桃子</w:t>
            </w:r>
          </w:p>
        </w:tc>
        <w:tc>
          <w:tcPr>
            <w:tcW w:w="3407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高度90mm，直径76mm</w:t>
            </w:r>
          </w:p>
        </w:tc>
        <w:tc>
          <w:tcPr>
            <w:tcW w:w="2841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9g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74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山竹</w:t>
            </w:r>
          </w:p>
        </w:tc>
        <w:tc>
          <w:tcPr>
            <w:tcW w:w="3407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长度70mm，直径60mm</w:t>
            </w:r>
          </w:p>
        </w:tc>
        <w:tc>
          <w:tcPr>
            <w:tcW w:w="2841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8g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74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菠萝</w:t>
            </w:r>
          </w:p>
        </w:tc>
        <w:tc>
          <w:tcPr>
            <w:tcW w:w="3407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长度50mm，高度130mm</w:t>
            </w:r>
          </w:p>
        </w:tc>
        <w:tc>
          <w:tcPr>
            <w:tcW w:w="2841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25.5g</w:t>
            </w:r>
          </w:p>
        </w:tc>
      </w:tr>
    </w:tbl>
    <w:p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jc w:val="left"/>
        <w:textAlignment w:val="baseline"/>
        <w:rPr>
          <w:rFonts w:hint="default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摆放规则：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各组别从7种道具中随机抽取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2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种，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对应任务点进行摆放，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参赛队在A01（水果场景区）范围内自主确定摆放位置。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道具示意图：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如图15所示。</w:t>
      </w:r>
    </w:p>
    <w:p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ind w:firstLine="480" w:firstLineChars="200"/>
        <w:jc w:val="center"/>
        <w:textAlignment w:val="baseline"/>
        <w:rPr>
          <w:rFonts w:hint="default" w:ascii="仿宋" w:hAnsi="仿宋" w:eastAsia="仿宋" w:cs="仿宋"/>
          <w:sz w:val="24"/>
          <w:szCs w:val="32"/>
          <w:lang w:val="en-US" w:eastAsia="zh-CN"/>
        </w:rPr>
      </w:pPr>
      <w:r>
        <w:rPr>
          <w:rFonts w:hint="default" w:ascii="仿宋" w:hAnsi="仿宋" w:eastAsia="仿宋" w:cs="仿宋"/>
          <w:sz w:val="24"/>
          <w:szCs w:val="32"/>
          <w:lang w:val="en-US" w:eastAsia="zh-CN"/>
        </w:rPr>
        <w:drawing>
          <wp:inline distT="0" distB="0" distL="114300" distR="114300">
            <wp:extent cx="3363595" cy="2082165"/>
            <wp:effectExtent l="0" t="0" r="8255" b="13335"/>
            <wp:docPr id="9" name="图片 9" descr="具身智能规则素材_06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具身智能规则素材_06(2)"/>
                    <pic:cNvPicPr>
                      <a:picLocks noChangeAspect="1"/>
                    </pic:cNvPicPr>
                  </pic:nvPicPr>
                  <pic:blipFill>
                    <a:blip r:embed="rId14"/>
                    <a:srcRect l="15746" t="10609" r="12973" b="10952"/>
                    <a:stretch>
                      <a:fillRect/>
                    </a:stretch>
                  </pic:blipFill>
                  <pic:spPr>
                    <a:xfrm>
                      <a:off x="0" y="0"/>
                      <a:ext cx="3363595" cy="208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ind w:firstLine="482" w:firstLineChars="200"/>
        <w:jc w:val="center"/>
        <w:textAlignment w:val="baseline"/>
        <w:rPr>
          <w:rFonts w:hint="default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default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  <w:t>图15 水果场景区任务道具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2.饮品场景区任务道具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道具清单：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可口可乐（330ml罐装）、雪碧（330ml罐装）、芬达（330ml罐装）、王老吉（310ml罐装），共4种，每种各1个。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材质与要求：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所有道具均为原装未拆封状态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，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禁止拆封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，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具体尺寸如下：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74"/>
        <w:gridCol w:w="4825"/>
        <w:gridCol w:w="142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6" w:hRule="atLeast"/>
        </w:trPr>
        <w:tc>
          <w:tcPr>
            <w:tcW w:w="2274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道具名称</w:t>
            </w:r>
          </w:p>
        </w:tc>
        <w:tc>
          <w:tcPr>
            <w:tcW w:w="4825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尺寸参数明细</w:t>
            </w:r>
          </w:p>
        </w:tc>
        <w:tc>
          <w:tcPr>
            <w:tcW w:w="1423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包装类型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74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可口可乐/雪碧/芬达</w:t>
            </w:r>
          </w:p>
        </w:tc>
        <w:tc>
          <w:tcPr>
            <w:tcW w:w="4825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left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罐身外直径66.0±1.0mm、罐体总高度115.2±1.8mm、罐身侧壁厚度0.11±0.02mm</w:t>
            </w:r>
          </w:p>
        </w:tc>
        <w:tc>
          <w:tcPr>
            <w:tcW w:w="1423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罐装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74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王老吉</w:t>
            </w:r>
          </w:p>
        </w:tc>
        <w:tc>
          <w:tcPr>
            <w:tcW w:w="4825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left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罐身外直径68.26±1.0mm、罐体总高度114.3±1.7mm、面盖直径60.33±0.9mm、底盖直径65.09±1.0mm</w:t>
            </w:r>
          </w:p>
        </w:tc>
        <w:tc>
          <w:tcPr>
            <w:tcW w:w="1423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罐装</w:t>
            </w:r>
          </w:p>
        </w:tc>
      </w:tr>
    </w:tbl>
    <w:p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ind w:firstLine="482" w:firstLineChars="200"/>
        <w:jc w:val="left"/>
        <w:textAlignment w:val="baseline"/>
        <w:rPr>
          <w:rFonts w:hint="default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摆放规则：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各组别从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4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种道具中随机抽取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2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种，垂直摆放于A02（饮品场景区）内，参赛队自主确定具体摆放位置。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道具示意图：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如图1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6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所示。</w:t>
      </w:r>
    </w:p>
    <w:p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ind w:firstLine="480" w:firstLineChars="200"/>
        <w:jc w:val="center"/>
        <w:textAlignment w:val="baseline"/>
        <w:rPr>
          <w:rFonts w:hint="default" w:ascii="仿宋" w:hAnsi="仿宋" w:eastAsia="仿宋" w:cs="仿宋"/>
          <w:sz w:val="24"/>
          <w:szCs w:val="32"/>
          <w:lang w:val="en-US" w:eastAsia="zh-CN"/>
        </w:rPr>
      </w:pPr>
      <w:r>
        <w:rPr>
          <w:rFonts w:hint="default" w:ascii="仿宋" w:hAnsi="仿宋" w:eastAsia="仿宋" w:cs="仿宋"/>
          <w:sz w:val="24"/>
          <w:szCs w:val="32"/>
          <w:lang w:val="en-US" w:eastAsia="zh-CN"/>
        </w:rPr>
        <w:drawing>
          <wp:inline distT="0" distB="0" distL="114300" distR="114300">
            <wp:extent cx="4492625" cy="1287145"/>
            <wp:effectExtent l="0" t="0" r="0" b="0"/>
            <wp:docPr id="15" name="图片 15" descr="具身智能规则素材_07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具身智能规则素材_07(1)"/>
                    <pic:cNvPicPr>
                      <a:picLocks noChangeAspect="1"/>
                    </pic:cNvPicPr>
                  </pic:nvPicPr>
                  <pic:blipFill>
                    <a:blip r:embed="rId15"/>
                    <a:srcRect l="9055" t="21903" r="5643" b="34655"/>
                    <a:stretch>
                      <a:fillRect/>
                    </a:stretch>
                  </pic:blipFill>
                  <pic:spPr>
                    <a:xfrm>
                      <a:off x="0" y="0"/>
                      <a:ext cx="4492625" cy="1287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ind w:firstLine="482" w:firstLineChars="200"/>
        <w:jc w:val="center"/>
        <w:textAlignment w:val="baseline"/>
        <w:rPr>
          <w:rFonts w:hint="eastAsia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  <w:t>图16 饮品场景区任务道具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3.工具场景区任务道具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道具清单：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螺丝刀、扳手、锤子、镊子、剪刀、尺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子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，共6种图案卡片，每种各1张。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材质与规格：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铜版纸材质，正方形结构，边长80mm，图案清晰、色彩鲜明，无遮挡。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摆放规则：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各组别从6种卡片中随机抽取3种，平放于A03（工具场景区）内，参赛队自主确定具体摆放位置。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0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道具示意图：如图1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7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所示。</w:t>
      </w:r>
    </w:p>
    <w:p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ind w:firstLine="480" w:firstLineChars="200"/>
        <w:jc w:val="center"/>
        <w:textAlignment w:val="baseline"/>
        <w:rPr>
          <w:rFonts w:hint="default" w:ascii="Times New Roman" w:hAnsi="Times New Roman" w:eastAsia="仿宋" w:cs="Times New Roman"/>
          <w:b w:val="0"/>
          <w:bCs w:val="0"/>
          <w:snapToGrid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default" w:ascii="Times New Roman" w:hAnsi="Times New Roman" w:eastAsia="仿宋" w:cs="Times New Roman"/>
          <w:b w:val="0"/>
          <w:bCs w:val="0"/>
          <w:snapToGrid w:val="0"/>
          <w:color w:val="000000"/>
          <w:kern w:val="0"/>
          <w:sz w:val="24"/>
          <w:szCs w:val="24"/>
          <w:lang w:val="en-US" w:eastAsia="zh-CN"/>
        </w:rPr>
        <w:drawing>
          <wp:inline distT="0" distB="0" distL="114300" distR="114300">
            <wp:extent cx="3423285" cy="2308225"/>
            <wp:effectExtent l="0" t="0" r="5715" b="15875"/>
            <wp:docPr id="12" name="图片 12" descr="具身智能规则素材_09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具身智能规则素材_09(1)"/>
                    <pic:cNvPicPr>
                      <a:picLocks noChangeAspect="1"/>
                    </pic:cNvPicPr>
                  </pic:nvPicPr>
                  <pic:blipFill>
                    <a:blip r:embed="rId16"/>
                    <a:srcRect l="6824" r="9742"/>
                    <a:stretch>
                      <a:fillRect/>
                    </a:stretch>
                  </pic:blipFill>
                  <pic:spPr>
                    <a:xfrm>
                      <a:off x="0" y="0"/>
                      <a:ext cx="3423285" cy="230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ind w:firstLine="482" w:firstLineChars="200"/>
        <w:jc w:val="center"/>
        <w:textAlignment w:val="baseline"/>
        <w:rPr>
          <w:rFonts w:hint="default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default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  <w:t>图17 工具场景区任务道具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4</w:t>
      </w: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类别标志区道具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0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类别标志区道具由 “基础承载道具” 和 “上层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任务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道具” 组成，两者组合后整体使用，具体规格如下：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基础承载道具：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圆柱形塑料道具，上下底面为等径圆形，无尖锐边角、无毛刺。尺寸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为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上下底面直径40mm，高度约20mm。材质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为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硬质塑料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上层</w:t>
      </w: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任务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道具：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边长50mm的泡沫正方体，颜色不限，无尖锐边角。每个道具上底面居中位置粘合1个直径30mm的圆形电子标签卡片，粘贴牢固，不得脱落。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0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比赛开始前，在每个电子标签卡片内随机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写入2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位数字数据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（2个电子标签卡片数据不重复）。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摆放规则：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B01（类别标志A区）、B02（类别标志B区）各配置1套组合道具（1个基础承载道具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+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1个上层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任务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道具）。基础承载道具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粘合在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对应区域中心位置（垂直投影与区域中心重合），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上层任务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道具平稳放置于基础承载道具的上表面位置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（参赛队自主确定具体摆放位置）。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道具示意图：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基础承载道具如图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1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8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所示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，上层任务道具如图19所示。</w:t>
      </w:r>
    </w:p>
    <w:p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ind w:firstLine="420" w:firstLineChars="200"/>
        <w:jc w:val="center"/>
        <w:textAlignment w:val="baseline"/>
      </w:pPr>
      <w:r>
        <w:drawing>
          <wp:inline distT="0" distB="0" distL="114300" distR="114300">
            <wp:extent cx="1221740" cy="1050290"/>
            <wp:effectExtent l="9525" t="9525" r="26035" b="26035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/>
                    <pic:cNvPicPr>
                      <a:picLocks noChangeAspect="1"/>
                    </pic:cNvPicPr>
                  </pic:nvPicPr>
                  <pic:blipFill>
                    <a:blip r:embed="rId17"/>
                    <a:srcRect l="30724" t="36660" r="36841" b="26191"/>
                    <a:stretch>
                      <a:fillRect/>
                    </a:stretch>
                  </pic:blipFill>
                  <pic:spPr>
                    <a:xfrm>
                      <a:off x="0" y="0"/>
                      <a:ext cx="1221740" cy="105029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ind w:firstLine="482" w:firstLineChars="200"/>
        <w:jc w:val="center"/>
        <w:textAlignment w:val="baseline"/>
        <w:rPr>
          <w:rFonts w:hint="default"/>
          <w:lang w:val="en-US" w:eastAsia="zh-CN"/>
        </w:rPr>
      </w:pPr>
      <w:r>
        <w:rPr>
          <w:rFonts w:hint="default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  <w:t>图18 类别标志区任务道具</w:t>
      </w:r>
      <w:r>
        <w:rPr>
          <w:rFonts w:hint="eastAsia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  <w:t>（基础承载道具）</w:t>
      </w:r>
    </w:p>
    <w:p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ind w:firstLine="480" w:firstLineChars="200"/>
        <w:jc w:val="center"/>
        <w:textAlignment w:val="baseline"/>
        <w:rPr>
          <w:rFonts w:hint="default" w:ascii="仿宋" w:hAnsi="仿宋" w:eastAsia="仿宋" w:cs="仿宋"/>
          <w:sz w:val="24"/>
          <w:szCs w:val="32"/>
          <w:lang w:val="en-US" w:eastAsia="zh-CN"/>
        </w:rPr>
      </w:pPr>
      <w:r>
        <w:rPr>
          <w:rFonts w:hint="default" w:ascii="仿宋" w:hAnsi="仿宋" w:eastAsia="仿宋" w:cs="仿宋"/>
          <w:sz w:val="24"/>
          <w:szCs w:val="32"/>
          <w:lang w:val="en-US" w:eastAsia="zh-CN"/>
        </w:rPr>
        <w:drawing>
          <wp:inline distT="0" distB="0" distL="114300" distR="114300">
            <wp:extent cx="2639060" cy="1129030"/>
            <wp:effectExtent l="0" t="0" r="8890" b="13970"/>
            <wp:docPr id="11" name="图片 11" descr="具身智能规则素材_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具身智能规则素材_08"/>
                    <pic:cNvPicPr>
                      <a:picLocks noChangeAspect="1"/>
                    </pic:cNvPicPr>
                  </pic:nvPicPr>
                  <pic:blipFill>
                    <a:blip r:embed="rId18"/>
                    <a:srcRect l="25874" t="21732" r="24017" b="40163"/>
                    <a:stretch>
                      <a:fillRect/>
                    </a:stretch>
                  </pic:blipFill>
                  <pic:spPr>
                    <a:xfrm>
                      <a:off x="0" y="0"/>
                      <a:ext cx="2639060" cy="112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ind w:firstLine="482" w:firstLineChars="200"/>
        <w:jc w:val="center"/>
        <w:textAlignment w:val="baseline"/>
        <w:rPr>
          <w:rFonts w:hint="default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default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  <w:t>图1</w:t>
      </w:r>
      <w:r>
        <w:rPr>
          <w:rFonts w:hint="eastAsia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  <w:t>9</w:t>
      </w:r>
      <w:r>
        <w:rPr>
          <w:rFonts w:hint="default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  <w:t xml:space="preserve"> 类别标志区任务道具</w:t>
      </w:r>
      <w:r>
        <w:rPr>
          <w:rFonts w:hint="eastAsia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  <w:t>（上层任务道具）</w:t>
      </w:r>
    </w:p>
    <w:p>
      <w:pPr>
        <w:widowControl/>
        <w:kinsoku w:val="0"/>
        <w:autoSpaceDE w:val="0"/>
        <w:autoSpaceDN w:val="0"/>
        <w:adjustRightInd w:val="0"/>
        <w:snapToGrid w:val="0"/>
        <w:spacing w:line="560" w:lineRule="exact"/>
        <w:ind w:firstLine="640" w:firstLineChars="200"/>
        <w:jc w:val="both"/>
        <w:textAlignment w:val="baseline"/>
        <w:outlineLvl w:val="0"/>
        <w:rPr>
          <w:rFonts w:hint="eastAsia" w:ascii="Times New Roman" w:hAnsi="Times New Roman" w:eastAsia="黑体" w:cs="Times New Roman"/>
          <w:snapToGrid w:val="0"/>
          <w:color w:val="auto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黑体" w:cs="Times New Roman"/>
          <w:snapToGrid w:val="0"/>
          <w:color w:val="auto"/>
          <w:kern w:val="0"/>
          <w:sz w:val="32"/>
          <w:szCs w:val="32"/>
          <w:lang w:val="en-US" w:eastAsia="zh-CN"/>
        </w:rPr>
        <w:t>四、竞赛任务与执行流程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320" w:firstLineChars="100"/>
        <w:jc w:val="both"/>
        <w:textAlignment w:val="baseline"/>
        <w:rPr>
          <w:rFonts w:hint="default" w:ascii="Times New Roman" w:hAnsi="Times New Roman" w:eastAsia="仿宋_GB2312" w:cs="Times New Roman"/>
          <w:b w:val="0"/>
          <w:bCs w:val="0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 w:val="0"/>
          <w:bCs w:val="0"/>
          <w:snapToGrid w:val="0"/>
          <w:color w:val="000000"/>
          <w:kern w:val="0"/>
          <w:sz w:val="32"/>
          <w:szCs w:val="32"/>
          <w:lang w:val="en-US" w:eastAsia="zh-CN"/>
        </w:rPr>
        <w:t>（一）</w:t>
      </w:r>
      <w:r>
        <w:rPr>
          <w:rFonts w:hint="default" w:ascii="Times New Roman" w:hAnsi="Times New Roman" w:eastAsia="仿宋_GB2312" w:cs="Times New Roman"/>
          <w:b w:val="0"/>
          <w:bCs w:val="0"/>
          <w:snapToGrid w:val="0"/>
          <w:color w:val="000000"/>
          <w:kern w:val="0"/>
          <w:sz w:val="32"/>
          <w:szCs w:val="32"/>
          <w:lang w:val="en-US" w:eastAsia="zh-CN"/>
        </w:rPr>
        <w:t>任务抽签规则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54"/>
        <w:gridCol w:w="3564"/>
        <w:gridCol w:w="210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54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参赛组别</w:t>
            </w:r>
          </w:p>
        </w:tc>
        <w:tc>
          <w:tcPr>
            <w:tcW w:w="3564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场景区 AI 智能识别任务</w:t>
            </w:r>
          </w:p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（机器人封存后抽签）</w:t>
            </w:r>
          </w:p>
        </w:tc>
        <w:tc>
          <w:tcPr>
            <w:tcW w:w="2104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类别标志区任务要求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54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小学组</w:t>
            </w:r>
          </w:p>
        </w:tc>
        <w:tc>
          <w:tcPr>
            <w:tcW w:w="3564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left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从A01、A02、A03三个场景区中随机抽取1个</w:t>
            </w:r>
          </w:p>
        </w:tc>
        <w:tc>
          <w:tcPr>
            <w:tcW w:w="2104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left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从B01、B02两个类别标志区中随机抽取1个执行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54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初中组、高中（中职）组</w:t>
            </w:r>
          </w:p>
        </w:tc>
        <w:tc>
          <w:tcPr>
            <w:tcW w:w="3564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left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从A01、A02、A03三个场景区中随机抽取2个</w:t>
            </w:r>
          </w:p>
        </w:tc>
        <w:tc>
          <w:tcPr>
            <w:tcW w:w="2104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left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需完成B01、B02两个类别标志区的全部任务</w:t>
            </w:r>
          </w:p>
        </w:tc>
      </w:tr>
    </w:tbl>
    <w:p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jc w:val="both"/>
        <w:textAlignment w:val="baseline"/>
        <w:rPr>
          <w:rFonts w:hint="default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320" w:firstLineChars="1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（二）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任务执行步骤与标准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1.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第一步</w:t>
      </w: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：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场景区AI智能识别任务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启动与</w:t>
      </w: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行驶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比赛开始后，机器人从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机器人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起始区出发，前往抽签确定的场景区。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抵达确认：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机器人抵达目标场景区后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，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机器人立即启动AI智能识别功能，对场景区内的所有道具进行逐一识别，并通过语音模块准确播报道具（播报顺序不做限制，但需确保每个识别成功的道具均有对应播报）。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2.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第二步：类别标志区抓取与数据读取任务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路径规划：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完成场景区语音播报后，机器人自主前往类别标志区（小学组1个，初中组、高中（中职）组2个）。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精准抓取：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机器人需稳定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逐个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抓取类别标志区道具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（上层任务道具）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，抓取过程中不得损坏道具或电子标签卡片，道具抓取后需保持稳定，不得掉落。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数据读取与反馈：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抓取成功后，机器人通过电子标签读取模块读取道具内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的2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位数字数据；读取成功后，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机器人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准确显示该数据，同时白色LED灯常亮3秒，之后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显示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与LED灯自动关闭，视为该任务完成；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b/>
          <w:bCs/>
          <w:snapToGrid w:val="0"/>
          <w:color w:val="auto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auto"/>
          <w:kern w:val="0"/>
          <w:sz w:val="32"/>
          <w:szCs w:val="32"/>
          <w:lang w:val="en-US" w:eastAsia="zh-CN"/>
        </w:rPr>
        <w:t>3.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auto"/>
          <w:kern w:val="0"/>
          <w:sz w:val="32"/>
          <w:szCs w:val="32"/>
          <w:lang w:val="en-US" w:eastAsia="zh-CN"/>
        </w:rPr>
        <w:t>第三步：对应运送任务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auto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bCs/>
          <w:snapToGrid w:val="0"/>
          <w:color w:val="auto"/>
          <w:kern w:val="0"/>
          <w:sz w:val="32"/>
          <w:szCs w:val="32"/>
          <w:lang w:val="en-US" w:eastAsia="zh-CN"/>
        </w:rPr>
        <w:t>运送要求：</w:t>
      </w:r>
      <w:r>
        <w:rPr>
          <w:rFonts w:hint="default" w:ascii="Times New Roman" w:hAnsi="Times New Roman" w:eastAsia="仿宋_GB2312" w:cs="Times New Roman"/>
          <w:snapToGrid w:val="0"/>
          <w:color w:val="auto"/>
          <w:kern w:val="0"/>
          <w:sz w:val="32"/>
          <w:szCs w:val="32"/>
          <w:lang w:val="en-US" w:eastAsia="zh-CN"/>
        </w:rPr>
        <w:t>类别标志区任务完成后，机器人</w:t>
      </w:r>
      <w:r>
        <w:rPr>
          <w:rFonts w:hint="eastAsia" w:ascii="Times New Roman" w:hAnsi="Times New Roman" w:eastAsia="仿宋_GB2312" w:cs="Times New Roman"/>
          <w:snapToGrid w:val="0"/>
          <w:color w:val="auto"/>
          <w:kern w:val="0"/>
          <w:sz w:val="32"/>
          <w:szCs w:val="32"/>
          <w:lang w:val="en-US" w:eastAsia="zh-CN"/>
        </w:rPr>
        <w:t>根据场景区AI智能识别任务抽签场景，</w:t>
      </w:r>
      <w:r>
        <w:rPr>
          <w:rFonts w:hint="default" w:ascii="Times New Roman" w:hAnsi="Times New Roman" w:eastAsia="仿宋_GB2312" w:cs="Times New Roman"/>
          <w:snapToGrid w:val="0"/>
          <w:color w:val="auto"/>
          <w:kern w:val="0"/>
          <w:sz w:val="32"/>
          <w:szCs w:val="32"/>
          <w:lang w:val="en-US" w:eastAsia="zh-CN"/>
        </w:rPr>
        <w:t>将抓取的</w:t>
      </w:r>
      <w:r>
        <w:rPr>
          <w:rFonts w:hint="eastAsia" w:ascii="Times New Roman" w:hAnsi="Times New Roman" w:eastAsia="仿宋_GB2312" w:cs="Times New Roman"/>
          <w:snapToGrid w:val="0"/>
          <w:color w:val="auto"/>
          <w:kern w:val="0"/>
          <w:sz w:val="32"/>
          <w:szCs w:val="32"/>
          <w:lang w:val="en-US" w:eastAsia="zh-CN"/>
        </w:rPr>
        <w:t>上层任务</w:t>
      </w:r>
      <w:r>
        <w:rPr>
          <w:rFonts w:hint="default" w:ascii="Times New Roman" w:hAnsi="Times New Roman" w:eastAsia="仿宋_GB2312" w:cs="Times New Roman"/>
          <w:snapToGrid w:val="0"/>
          <w:color w:val="auto"/>
          <w:kern w:val="0"/>
          <w:sz w:val="32"/>
          <w:szCs w:val="32"/>
          <w:lang w:val="en-US" w:eastAsia="zh-CN"/>
        </w:rPr>
        <w:t>道具逐个、逐次运送至对应分类放置区，运送过程中道具不得掉落、损坏。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0" w:firstLineChars="200"/>
        <w:jc w:val="left"/>
        <w:textAlignment w:val="baseline"/>
        <w:rPr>
          <w:rFonts w:hint="eastAsia" w:ascii="Times New Roman" w:hAnsi="Times New Roman" w:eastAsia="仿宋_GB2312" w:cs="Times New Roman"/>
          <w:snapToGrid w:val="0"/>
          <w:color w:val="auto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snapToGrid w:val="0"/>
          <w:color w:val="auto"/>
          <w:kern w:val="0"/>
          <w:sz w:val="32"/>
          <w:szCs w:val="32"/>
          <w:lang w:val="en-US" w:eastAsia="zh-CN"/>
        </w:rPr>
        <w:t>B01（类别标志A区）→ C01（A水果区）</w:t>
      </w:r>
      <w:r>
        <w:rPr>
          <w:rFonts w:hint="eastAsia" w:ascii="Times New Roman" w:hAnsi="Times New Roman" w:eastAsia="仿宋_GB2312" w:cs="Times New Roman"/>
          <w:snapToGrid w:val="0"/>
          <w:color w:val="auto"/>
          <w:kern w:val="0"/>
          <w:sz w:val="32"/>
          <w:szCs w:val="32"/>
          <w:lang w:val="en-US" w:eastAsia="zh-CN"/>
        </w:rPr>
        <w:t>/ C02（A饮品区）/C03（A工具区）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0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auto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snapToGrid w:val="0"/>
          <w:color w:val="auto"/>
          <w:kern w:val="0"/>
          <w:sz w:val="32"/>
          <w:szCs w:val="32"/>
          <w:lang w:val="en-US" w:eastAsia="zh-CN"/>
        </w:rPr>
        <w:t>B02（类别标志B区）→C04（B水果区）</w:t>
      </w:r>
      <w:r>
        <w:rPr>
          <w:rFonts w:hint="eastAsia" w:ascii="Times New Roman" w:hAnsi="Times New Roman" w:eastAsia="仿宋_GB2312" w:cs="Times New Roman"/>
          <w:snapToGrid w:val="0"/>
          <w:color w:val="auto"/>
          <w:kern w:val="0"/>
          <w:sz w:val="32"/>
          <w:szCs w:val="32"/>
          <w:lang w:val="en-US" w:eastAsia="zh-CN"/>
        </w:rPr>
        <w:t>/</w:t>
      </w:r>
      <w:r>
        <w:rPr>
          <w:rFonts w:hint="default" w:ascii="Times New Roman" w:hAnsi="Times New Roman" w:eastAsia="仿宋_GB2312" w:cs="Times New Roman"/>
          <w:snapToGrid w:val="0"/>
          <w:color w:val="auto"/>
          <w:kern w:val="0"/>
          <w:sz w:val="32"/>
          <w:szCs w:val="32"/>
          <w:lang w:val="en-US" w:eastAsia="zh-CN"/>
        </w:rPr>
        <w:t>C0</w:t>
      </w:r>
      <w:r>
        <w:rPr>
          <w:rFonts w:hint="eastAsia" w:ascii="Times New Roman" w:hAnsi="Times New Roman" w:eastAsia="仿宋_GB2312" w:cs="Times New Roman"/>
          <w:snapToGrid w:val="0"/>
          <w:color w:val="auto"/>
          <w:kern w:val="0"/>
          <w:sz w:val="32"/>
          <w:szCs w:val="32"/>
          <w:lang w:val="en-US" w:eastAsia="zh-CN"/>
        </w:rPr>
        <w:t>5</w:t>
      </w:r>
      <w:r>
        <w:rPr>
          <w:rFonts w:hint="default" w:ascii="Times New Roman" w:hAnsi="Times New Roman" w:eastAsia="仿宋_GB2312" w:cs="Times New Roman"/>
          <w:snapToGrid w:val="0"/>
          <w:color w:val="auto"/>
          <w:kern w:val="0"/>
          <w:sz w:val="32"/>
          <w:szCs w:val="32"/>
          <w:lang w:val="en-US" w:eastAsia="zh-CN"/>
        </w:rPr>
        <w:t>（B</w:t>
      </w:r>
      <w:r>
        <w:rPr>
          <w:rFonts w:hint="eastAsia" w:ascii="Times New Roman" w:hAnsi="Times New Roman" w:eastAsia="仿宋_GB2312" w:cs="Times New Roman"/>
          <w:snapToGrid w:val="0"/>
          <w:color w:val="auto"/>
          <w:kern w:val="0"/>
          <w:sz w:val="32"/>
          <w:szCs w:val="32"/>
          <w:lang w:val="en-US" w:eastAsia="zh-CN"/>
        </w:rPr>
        <w:t>饮品</w:t>
      </w:r>
      <w:r>
        <w:rPr>
          <w:rFonts w:hint="default" w:ascii="Times New Roman" w:hAnsi="Times New Roman" w:eastAsia="仿宋_GB2312" w:cs="Times New Roman"/>
          <w:snapToGrid w:val="0"/>
          <w:color w:val="auto"/>
          <w:kern w:val="0"/>
          <w:sz w:val="32"/>
          <w:szCs w:val="32"/>
          <w:lang w:val="en-US" w:eastAsia="zh-CN"/>
        </w:rPr>
        <w:t>区）</w:t>
      </w:r>
      <w:r>
        <w:rPr>
          <w:rFonts w:hint="eastAsia" w:ascii="Times New Roman" w:hAnsi="Times New Roman" w:eastAsia="仿宋_GB2312" w:cs="Times New Roman"/>
          <w:snapToGrid w:val="0"/>
          <w:color w:val="auto"/>
          <w:kern w:val="0"/>
          <w:sz w:val="32"/>
          <w:szCs w:val="32"/>
          <w:lang w:val="en-US" w:eastAsia="zh-CN"/>
        </w:rPr>
        <w:t>/</w:t>
      </w:r>
      <w:r>
        <w:rPr>
          <w:rFonts w:hint="default" w:ascii="Times New Roman" w:hAnsi="Times New Roman" w:eastAsia="仿宋_GB2312" w:cs="Times New Roman"/>
          <w:snapToGrid w:val="0"/>
          <w:color w:val="auto"/>
          <w:kern w:val="0"/>
          <w:sz w:val="32"/>
          <w:szCs w:val="32"/>
          <w:lang w:val="en-US" w:eastAsia="zh-CN"/>
        </w:rPr>
        <w:t>C06（B工具区）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bCs/>
          <w:snapToGrid w:val="0"/>
          <w:color w:val="auto"/>
          <w:kern w:val="0"/>
          <w:sz w:val="32"/>
          <w:szCs w:val="32"/>
          <w:lang w:val="en-US" w:eastAsia="zh-CN"/>
        </w:rPr>
        <w:t>放置标准：</w:t>
      </w:r>
      <w:r>
        <w:rPr>
          <w:rFonts w:hint="default" w:ascii="Times New Roman" w:hAnsi="Times New Roman" w:eastAsia="仿宋_GB2312" w:cs="Times New Roman"/>
          <w:snapToGrid w:val="0"/>
          <w:color w:val="auto"/>
          <w:kern w:val="0"/>
          <w:sz w:val="32"/>
          <w:szCs w:val="32"/>
          <w:lang w:val="en-US" w:eastAsia="zh-CN"/>
        </w:rPr>
        <w:t>道具垂直投影完全进入目标区域（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含压线）为 “完全进入”；部分进入为 “不完全进入”；未进入为 “完全不在区域”。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4.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第四步：手势识别任务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区域抵达：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运送任务完成后，机器人自主前往 C07（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手势识别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区）并稳定停靠。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手势要求：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参赛选手在机器人正上方做出 “剪刀”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、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“石头”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、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 xml:space="preserve">“布” 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，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任意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1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种规范手势，手势垂直投影需完全在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手势识别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区内，且选手不得接触机器人、道具或场地。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识别与应答：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全程人机语音交互，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机器人通过视觉感知模块识别手势，语音播报手势名称；随后自动语音应答该手势的破解策略（即能战胜该手势的手势），两项均准确完成视为任务成功。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5.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第五步：完全返回</w:t>
      </w: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起始区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任务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0" w:firstLineChars="2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所有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任务执行完毕后，机器人自主规划路径返回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机器人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起始区，且整体垂直投影完全落在起始区内，视为本轮比赛任务全部完成。</w:t>
      </w:r>
    </w:p>
    <w:p>
      <w:pPr>
        <w:widowControl/>
        <w:kinsoku w:val="0"/>
        <w:autoSpaceDE w:val="0"/>
        <w:autoSpaceDN w:val="0"/>
        <w:adjustRightInd w:val="0"/>
        <w:snapToGrid w:val="0"/>
        <w:spacing w:line="560" w:lineRule="exact"/>
        <w:ind w:firstLine="640" w:firstLineChars="200"/>
        <w:jc w:val="both"/>
        <w:textAlignment w:val="baseline"/>
        <w:outlineLvl w:val="0"/>
        <w:rPr>
          <w:rFonts w:hint="default" w:ascii="Times New Roman" w:hAnsi="Times New Roman" w:eastAsia="黑体" w:cs="Times New Roman"/>
          <w:snapToGrid w:val="0"/>
          <w:color w:val="auto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黑体" w:cs="Times New Roman"/>
          <w:snapToGrid w:val="0"/>
          <w:color w:val="auto"/>
          <w:kern w:val="0"/>
          <w:sz w:val="32"/>
          <w:szCs w:val="32"/>
          <w:lang w:val="en-US" w:eastAsia="zh-CN"/>
        </w:rPr>
        <w:t>五、竞赛组织与规则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320" w:firstLineChars="100"/>
        <w:jc w:val="both"/>
        <w:textAlignment w:val="baseline"/>
        <w:rPr>
          <w:rFonts w:hint="default" w:ascii="Times New Roman" w:hAnsi="Times New Roman" w:eastAsia="仿宋_GB2312" w:cs="Times New Roman"/>
          <w:b w:val="0"/>
          <w:bCs w:val="0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 w:val="0"/>
          <w:bCs w:val="0"/>
          <w:snapToGrid w:val="0"/>
          <w:color w:val="000000"/>
          <w:kern w:val="0"/>
          <w:sz w:val="32"/>
          <w:szCs w:val="32"/>
          <w:lang w:val="en-US" w:eastAsia="zh-CN"/>
        </w:rPr>
        <w:t>（一）</w:t>
      </w:r>
      <w:r>
        <w:rPr>
          <w:rFonts w:hint="default" w:ascii="Times New Roman" w:hAnsi="Times New Roman" w:eastAsia="仿宋_GB2312" w:cs="Times New Roman"/>
          <w:b w:val="0"/>
          <w:bCs w:val="0"/>
          <w:snapToGrid w:val="0"/>
          <w:color w:val="000000"/>
          <w:kern w:val="0"/>
          <w:sz w:val="32"/>
          <w:szCs w:val="32"/>
          <w:lang w:val="en-US" w:eastAsia="zh-CN"/>
        </w:rPr>
        <w:t>赛制与赛程安排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1.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比赛轮次：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采用两轮连续比赛制，每支队伍需完成两轮比赛，最终成绩取两轮得分之和，总时长取两轮用时之和。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2.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时间限制：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小学组每轮比赛时长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120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 xml:space="preserve">秒（从 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“开始”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口令发出计时），初中组、高中（中职）组每轮180秒；超时未完成比赛，裁判强制终止，按已完成任务计分。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3.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调试阶段：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总时长90分钟，参赛队在指定调试区域进行机器人编程、调试与功能测试。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4.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封存阶段：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调试完成后，参赛队在机器人醒目位置张贴队伍编号，交由裁判组统一封存管理；比赛期间不得擅自接触封存机器人。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5.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竞赛阶段：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依次进场比赛，每队参赛队员不超过2人，队员需在指定区域观察，不得干扰比赛秩序。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320" w:firstLineChars="100"/>
        <w:jc w:val="both"/>
        <w:textAlignment w:val="baseline"/>
        <w:rPr>
          <w:rFonts w:hint="default" w:ascii="Times New Roman" w:hAnsi="Times New Roman" w:eastAsia="仿宋_GB2312" w:cs="Times New Roman"/>
          <w:b w:val="0"/>
          <w:bCs w:val="0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 w:val="0"/>
          <w:bCs w:val="0"/>
          <w:snapToGrid w:val="0"/>
          <w:color w:val="000000"/>
          <w:kern w:val="0"/>
          <w:sz w:val="32"/>
          <w:szCs w:val="32"/>
          <w:lang w:val="en-US" w:eastAsia="zh-CN"/>
        </w:rPr>
        <w:t>（二）</w:t>
      </w:r>
      <w:r>
        <w:rPr>
          <w:rFonts w:hint="default" w:ascii="Times New Roman" w:hAnsi="Times New Roman" w:eastAsia="仿宋_GB2312" w:cs="Times New Roman"/>
          <w:b w:val="0"/>
          <w:bCs w:val="0"/>
          <w:snapToGrid w:val="0"/>
          <w:color w:val="000000"/>
          <w:kern w:val="0"/>
          <w:sz w:val="32"/>
          <w:szCs w:val="32"/>
          <w:lang w:val="en-US" w:eastAsia="zh-CN"/>
        </w:rPr>
        <w:t>参赛行为规范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1.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物品携带：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仅允许携带已搭建完成的机器人进入调试区，禁止携带U盘、光盘、手机、相机、无线路由器等存储设备、通信工具及与比赛无关的物品。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2.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机器人启动：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裁判员发出 “3、2、1，开始” 口令后，参赛选手方可启动机器人；口令发出前启动视为 “误启动”，首次误启动给予口头警告，再次误启动取消本轮比赛资格。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3.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比赛过程操作：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机器人离开起始区后，参赛选手不得触碰机器人、道具、场地或干扰其他队伍比赛；若零件脱落，在不影响比赛秩序的前提下，可向裁判申请取回，不得自行进入场地操作。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both"/>
        <w:textAlignment w:val="baseline"/>
        <w:rPr>
          <w:rFonts w:hint="eastAsia" w:ascii="Times New Roman" w:hAnsi="Times New Roman" w:eastAsia="仿宋_GB2312" w:cs="Times New Roman"/>
          <w:b w:val="0"/>
          <w:bCs w:val="0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4.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场地复原：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每场比赛结束后，裁判组负责复原场地及道具，下一队参赛前需确认场地状态无误后再开始比赛。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320" w:firstLineChars="100"/>
        <w:jc w:val="both"/>
        <w:textAlignment w:val="baseline"/>
        <w:rPr>
          <w:rFonts w:hint="default" w:ascii="Times New Roman" w:hAnsi="Times New Roman" w:eastAsia="仿宋_GB2312" w:cs="Times New Roman"/>
          <w:b w:val="0"/>
          <w:bCs w:val="0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 w:val="0"/>
          <w:bCs w:val="0"/>
          <w:snapToGrid w:val="0"/>
          <w:color w:val="000000"/>
          <w:kern w:val="0"/>
          <w:sz w:val="32"/>
          <w:szCs w:val="32"/>
          <w:lang w:val="en-US" w:eastAsia="zh-CN"/>
        </w:rPr>
        <w:t>（三）</w:t>
      </w:r>
      <w:r>
        <w:rPr>
          <w:rFonts w:hint="default" w:ascii="Times New Roman" w:hAnsi="Times New Roman" w:eastAsia="仿宋_GB2312" w:cs="Times New Roman"/>
          <w:b w:val="0"/>
          <w:bCs w:val="0"/>
          <w:snapToGrid w:val="0"/>
          <w:color w:val="000000"/>
          <w:kern w:val="0"/>
          <w:sz w:val="32"/>
          <w:szCs w:val="32"/>
          <w:lang w:val="en-US" w:eastAsia="zh-CN"/>
        </w:rPr>
        <w:t>计分标准与排名规则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both"/>
        <w:textAlignment w:val="baseline"/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1.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计分标准</w:t>
      </w: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：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关于任务道具物块进入的标准主要分为三类：完全进入（包含压线），不完全进入，完全不在区域。如图20所示。</w:t>
      </w:r>
    </w:p>
    <w:p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ind w:firstLine="480" w:firstLineChars="200"/>
        <w:jc w:val="center"/>
        <w:textAlignment w:val="baseline"/>
        <w:rPr>
          <w:rFonts w:hint="default" w:ascii="仿宋" w:hAnsi="仿宋" w:eastAsia="仿宋" w:cs="仿宋"/>
          <w:sz w:val="24"/>
          <w:szCs w:val="32"/>
          <w:lang w:val="en-US" w:eastAsia="zh-CN"/>
        </w:rPr>
      </w:pPr>
      <w:r>
        <w:rPr>
          <w:rFonts w:hint="default" w:ascii="仿宋" w:hAnsi="仿宋" w:eastAsia="仿宋" w:cs="仿宋"/>
          <w:sz w:val="24"/>
          <w:szCs w:val="32"/>
          <w:lang w:val="en-US" w:eastAsia="zh-CN"/>
        </w:rPr>
        <w:drawing>
          <wp:inline distT="0" distB="0" distL="114300" distR="114300">
            <wp:extent cx="4401185" cy="1952625"/>
            <wp:effectExtent l="0" t="0" r="18415" b="9525"/>
            <wp:docPr id="14" name="图片 14" descr="具身智能规则素材_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具身智能规则素材_10"/>
                    <pic:cNvPicPr>
                      <a:picLocks noChangeAspect="1"/>
                    </pic:cNvPicPr>
                  </pic:nvPicPr>
                  <pic:blipFill>
                    <a:blip r:embed="rId19"/>
                    <a:srcRect l="9778" t="14016" r="6655" b="20081"/>
                    <a:stretch>
                      <a:fillRect/>
                    </a:stretch>
                  </pic:blipFill>
                  <pic:spPr>
                    <a:xfrm>
                      <a:off x="0" y="0"/>
                      <a:ext cx="4401185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ind w:firstLine="482" w:firstLineChars="200"/>
        <w:jc w:val="center"/>
        <w:textAlignment w:val="baseline"/>
        <w:rPr>
          <w:rFonts w:hint="default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default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  <w:t>图</w:t>
      </w:r>
      <w:r>
        <w:rPr>
          <w:rFonts w:hint="eastAsia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  <w:t>20</w:t>
      </w:r>
      <w:r>
        <w:rPr>
          <w:rFonts w:hint="default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  <w:t xml:space="preserve"> </w:t>
      </w:r>
      <w:r>
        <w:rPr>
          <w:rFonts w:hint="eastAsia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  <w:t>“进入标准”示意图</w:t>
      </w:r>
    </w:p>
    <w:tbl>
      <w:tblPr>
        <w:tblStyle w:val="4"/>
        <w:tblW w:w="9765" w:type="dxa"/>
        <w:tblInd w:w="-836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0"/>
        <w:gridCol w:w="3015"/>
        <w:gridCol w:w="594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0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/>
                <w:bCs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任务序号</w:t>
            </w:r>
          </w:p>
        </w:tc>
        <w:tc>
          <w:tcPr>
            <w:tcW w:w="3015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/>
                <w:bCs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任务名称</w:t>
            </w:r>
          </w:p>
        </w:tc>
        <w:tc>
          <w:tcPr>
            <w:tcW w:w="5940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/>
                <w:bCs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计分规则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6" w:hRule="atLeast"/>
        </w:trPr>
        <w:tc>
          <w:tcPr>
            <w:tcW w:w="810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1</w:t>
            </w:r>
          </w:p>
        </w:tc>
        <w:tc>
          <w:tcPr>
            <w:tcW w:w="3015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机器人启动</w:t>
            </w:r>
          </w:p>
        </w:tc>
        <w:tc>
          <w:tcPr>
            <w:tcW w:w="5940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both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机器人成功启动，并开始移动</w:t>
            </w: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得15分</w:t>
            </w: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；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0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2</w:t>
            </w:r>
          </w:p>
        </w:tc>
        <w:tc>
          <w:tcPr>
            <w:tcW w:w="3015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AI 智能识别与语音播报</w:t>
            </w:r>
          </w:p>
        </w:tc>
        <w:tc>
          <w:tcPr>
            <w:tcW w:w="5940" w:type="dxa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left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每个抽签场景区成功完成抵达</w:t>
            </w: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，每个道具识别准确并语音播报正确，得10分/个；识别错误或未播报，不得分；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2" w:hRule="atLeast"/>
        </w:trPr>
        <w:tc>
          <w:tcPr>
            <w:tcW w:w="810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3</w:t>
            </w:r>
          </w:p>
        </w:tc>
        <w:tc>
          <w:tcPr>
            <w:tcW w:w="3015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类别标志区道具</w:t>
            </w: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（上层任务道具）</w:t>
            </w: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抓取</w:t>
            </w:r>
          </w:p>
        </w:tc>
        <w:tc>
          <w:tcPr>
            <w:tcW w:w="5940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both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每个</w:t>
            </w: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道具抓取成功，得10分</w:t>
            </w: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/个</w:t>
            </w: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；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0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4</w:t>
            </w:r>
          </w:p>
        </w:tc>
        <w:tc>
          <w:tcPr>
            <w:tcW w:w="3015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电子标签数据读取与反馈</w:t>
            </w:r>
          </w:p>
        </w:tc>
        <w:tc>
          <w:tcPr>
            <w:tcW w:w="5940" w:type="dxa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left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每个道具数据读取成功、</w:t>
            </w: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机器人</w:t>
            </w: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正确显示且 LED 灯常亮3秒，得10分</w:t>
            </w: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/个</w:t>
            </w: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；读取失败或显示异常，得5分</w:t>
            </w: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/个；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0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5</w:t>
            </w:r>
          </w:p>
        </w:tc>
        <w:tc>
          <w:tcPr>
            <w:tcW w:w="3015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道具运送至分类放置区</w:t>
            </w:r>
          </w:p>
        </w:tc>
        <w:tc>
          <w:tcPr>
            <w:tcW w:w="5940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240" w:hanging="240" w:hangingChars="100"/>
              <w:jc w:val="both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每个道具完全进入目标区域，得10分</w:t>
            </w: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/个</w:t>
            </w: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；不完全进入，得5分</w:t>
            </w: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/个</w:t>
            </w: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；</w:t>
            </w: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完全不在区域</w:t>
            </w: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，不得分</w:t>
            </w: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；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0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6</w:t>
            </w:r>
          </w:p>
        </w:tc>
        <w:tc>
          <w:tcPr>
            <w:tcW w:w="3015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手势识别与破解策略应答</w:t>
            </w:r>
          </w:p>
        </w:tc>
        <w:tc>
          <w:tcPr>
            <w:tcW w:w="5940" w:type="dxa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left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手势识别准确播报正确</w:t>
            </w: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得10分，</w:t>
            </w: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破解策略应答正确，得</w:t>
            </w: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10</w:t>
            </w: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分；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1" w:hRule="atLeast"/>
        </w:trPr>
        <w:tc>
          <w:tcPr>
            <w:tcW w:w="810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7</w:t>
            </w:r>
          </w:p>
        </w:tc>
        <w:tc>
          <w:tcPr>
            <w:tcW w:w="3015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完全返回起始区</w:t>
            </w:r>
          </w:p>
        </w:tc>
        <w:tc>
          <w:tcPr>
            <w:tcW w:w="5940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both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机器人完全返回起始区得</w:t>
            </w: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15</w:t>
            </w: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分</w:t>
            </w: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；</w:t>
            </w:r>
          </w:p>
        </w:tc>
      </w:tr>
    </w:tbl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2.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排名规则</w:t>
      </w: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按两轮比赛总分从高到低排序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，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若总分相同，两轮比赛总用时较短的队伍排名靠前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，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若总分与总用时均相同，单场比赛最高得分较高的队伍排名靠前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。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若以上均相同，单场最高得分对应的比赛用时较短的队伍排名靠前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。</w:t>
      </w:r>
    </w:p>
    <w:p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jc w:val="both"/>
        <w:textAlignment w:val="baseline"/>
        <w:rPr>
          <w:rFonts w:hint="default" w:ascii="Times New Roman" w:hAnsi="Times New Roman" w:eastAsia="仿宋" w:cs="Times New Roman"/>
          <w:b w:val="0"/>
          <w:bCs w:val="0"/>
          <w:snapToGrid w:val="0"/>
          <w:color w:val="000000"/>
          <w:kern w:val="0"/>
          <w:sz w:val="24"/>
          <w:szCs w:val="24"/>
          <w:lang w:val="en-US" w:eastAsia="zh-CN"/>
        </w:rPr>
      </w:pPr>
    </w:p>
    <w:p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jc w:val="both"/>
        <w:textAlignment w:val="baseline"/>
        <w:rPr>
          <w:rFonts w:hint="default" w:ascii="Times New Roman" w:hAnsi="Times New Roman" w:eastAsia="仿宋" w:cs="Times New Roman"/>
          <w:b w:val="0"/>
          <w:bCs w:val="0"/>
          <w:snapToGrid w:val="0"/>
          <w:color w:val="000000"/>
          <w:kern w:val="0"/>
          <w:sz w:val="24"/>
          <w:szCs w:val="24"/>
          <w:lang w:val="en-US" w:eastAsia="zh-CN"/>
        </w:rPr>
      </w:pPr>
    </w:p>
    <w:p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jc w:val="both"/>
        <w:textAlignment w:val="baseline"/>
        <w:rPr>
          <w:rFonts w:hint="default" w:ascii="Times New Roman" w:hAnsi="Times New Roman" w:eastAsia="仿宋" w:cs="Times New Roman"/>
          <w:b w:val="0"/>
          <w:bCs w:val="0"/>
          <w:snapToGrid w:val="0"/>
          <w:color w:val="000000"/>
          <w:kern w:val="0"/>
          <w:sz w:val="24"/>
          <w:szCs w:val="24"/>
          <w:lang w:val="en-US" w:eastAsia="zh-CN"/>
        </w:rPr>
      </w:pPr>
    </w:p>
    <w:p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jc w:val="both"/>
        <w:textAlignment w:val="baseline"/>
        <w:rPr>
          <w:rFonts w:hint="default" w:ascii="Times New Roman" w:hAnsi="Times New Roman" w:eastAsia="仿宋" w:cs="Times New Roman"/>
          <w:b w:val="0"/>
          <w:bCs w:val="0"/>
          <w:snapToGrid w:val="0"/>
          <w:color w:val="000000"/>
          <w:kern w:val="0"/>
          <w:sz w:val="24"/>
          <w:szCs w:val="24"/>
          <w:lang w:val="en-US" w:eastAsia="zh-CN"/>
        </w:rPr>
      </w:pPr>
    </w:p>
    <w:p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jc w:val="both"/>
        <w:textAlignment w:val="baseline"/>
        <w:rPr>
          <w:rFonts w:hint="default" w:ascii="Times New Roman" w:hAnsi="Times New Roman" w:eastAsia="仿宋" w:cs="Times New Roman"/>
          <w:b w:val="0"/>
          <w:bCs w:val="0"/>
          <w:snapToGrid w:val="0"/>
          <w:color w:val="000000"/>
          <w:kern w:val="0"/>
          <w:sz w:val="24"/>
          <w:szCs w:val="24"/>
          <w:lang w:val="en-US" w:eastAsia="zh-CN"/>
        </w:rPr>
      </w:pPr>
    </w:p>
    <w:p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jc w:val="both"/>
        <w:textAlignment w:val="baseline"/>
        <w:rPr>
          <w:rFonts w:hint="default" w:ascii="Times New Roman" w:hAnsi="Times New Roman" w:eastAsia="仿宋" w:cs="Times New Roman"/>
          <w:b w:val="0"/>
          <w:bCs w:val="0"/>
          <w:snapToGrid w:val="0"/>
          <w:color w:val="000000"/>
          <w:kern w:val="0"/>
          <w:sz w:val="24"/>
          <w:szCs w:val="24"/>
          <w:lang w:val="en-US" w:eastAsia="zh-CN"/>
        </w:rPr>
      </w:pPr>
    </w:p>
    <w:p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jc w:val="both"/>
        <w:textAlignment w:val="baseline"/>
        <w:rPr>
          <w:rFonts w:hint="default" w:ascii="Times New Roman" w:hAnsi="Times New Roman" w:eastAsia="仿宋" w:cs="Times New Roman"/>
          <w:b w:val="0"/>
          <w:bCs w:val="0"/>
          <w:snapToGrid w:val="0"/>
          <w:color w:val="000000"/>
          <w:kern w:val="0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黑体" w:hAnsi="黑体" w:eastAsia="黑体" w:cs="黑体"/>
          <w:b w:val="0"/>
          <w:bCs w:val="0"/>
          <w:i w:val="0"/>
          <w:iCs w:val="0"/>
          <w:sz w:val="36"/>
          <w:szCs w:val="36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i w:val="0"/>
          <w:iCs w:val="0"/>
          <w:sz w:val="36"/>
          <w:szCs w:val="36"/>
          <w:lang w:val="en-US" w:eastAsia="zh-CN"/>
        </w:rPr>
        <w:t>2026年苏州市具身智能竞赛计分表</w:t>
      </w:r>
      <w:bookmarkStart w:id="1" w:name="_GoBack"/>
      <w:bookmarkEnd w:id="1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仿宋" w:hAnsi="仿宋" w:eastAsia="仿宋" w:cs="仿宋"/>
          <w:b w:val="0"/>
          <w:bCs w:val="0"/>
          <w:i w:val="0"/>
          <w:iCs w:val="0"/>
          <w:sz w:val="24"/>
          <w:szCs w:val="32"/>
          <w:u w:val="single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sz w:val="24"/>
          <w:szCs w:val="32"/>
          <w:lang w:val="en-US" w:eastAsia="zh-CN"/>
        </w:rPr>
        <w:t>组别：</w:t>
      </w:r>
      <w:r>
        <w:rPr>
          <w:rFonts w:hint="eastAsia" w:ascii="仿宋" w:hAnsi="仿宋" w:eastAsia="仿宋" w:cs="仿宋"/>
          <w:b w:val="0"/>
          <w:bCs w:val="0"/>
          <w:i w:val="0"/>
          <w:iCs w:val="0"/>
          <w:sz w:val="24"/>
          <w:szCs w:val="32"/>
          <w:u w:val="single"/>
          <w:lang w:val="en-US" w:eastAsia="zh-CN"/>
        </w:rPr>
        <w:t xml:space="preserve">                </w:t>
      </w:r>
      <w:r>
        <w:rPr>
          <w:rFonts w:hint="eastAsia" w:ascii="仿宋" w:hAnsi="仿宋" w:eastAsia="仿宋" w:cs="仿宋"/>
          <w:b w:val="0"/>
          <w:bCs w:val="0"/>
          <w:i w:val="0"/>
          <w:iCs w:val="0"/>
          <w:sz w:val="24"/>
          <w:szCs w:val="32"/>
          <w:lang w:val="en-US" w:eastAsia="zh-CN"/>
        </w:rPr>
        <w:t>参赛学校：</w:t>
      </w:r>
      <w:r>
        <w:rPr>
          <w:rFonts w:hint="eastAsia" w:ascii="仿宋" w:hAnsi="仿宋" w:eastAsia="仿宋" w:cs="仿宋"/>
          <w:b w:val="0"/>
          <w:bCs w:val="0"/>
          <w:i w:val="0"/>
          <w:iCs w:val="0"/>
          <w:sz w:val="24"/>
          <w:szCs w:val="32"/>
          <w:u w:val="single"/>
          <w:lang w:val="en-US" w:eastAsia="zh-CN"/>
        </w:rPr>
        <w:t xml:space="preserve">              </w:t>
      </w:r>
      <w:r>
        <w:rPr>
          <w:rFonts w:hint="eastAsia" w:ascii="仿宋" w:hAnsi="仿宋" w:eastAsia="仿宋" w:cs="仿宋"/>
          <w:b w:val="0"/>
          <w:bCs w:val="0"/>
          <w:i w:val="0"/>
          <w:iCs w:val="0"/>
          <w:sz w:val="24"/>
          <w:szCs w:val="32"/>
          <w:lang w:val="en-US" w:eastAsia="zh-CN"/>
        </w:rPr>
        <w:t>队伍编号：</w:t>
      </w:r>
      <w:r>
        <w:rPr>
          <w:rFonts w:hint="eastAsia" w:ascii="仿宋" w:hAnsi="仿宋" w:eastAsia="仿宋" w:cs="仿宋"/>
          <w:b w:val="0"/>
          <w:bCs w:val="0"/>
          <w:i w:val="0"/>
          <w:iCs w:val="0"/>
          <w:sz w:val="24"/>
          <w:szCs w:val="32"/>
          <w:u w:val="single"/>
          <w:lang w:val="en-US" w:eastAsia="zh-CN"/>
        </w:rPr>
        <w:t xml:space="preserve">                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38"/>
        <w:gridCol w:w="1311"/>
        <w:gridCol w:w="1674"/>
        <w:gridCol w:w="765"/>
        <w:gridCol w:w="945"/>
        <w:gridCol w:w="975"/>
        <w:gridCol w:w="975"/>
        <w:gridCol w:w="103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38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任务序号</w:t>
            </w:r>
          </w:p>
        </w:tc>
        <w:tc>
          <w:tcPr>
            <w:tcW w:w="2985" w:type="dxa"/>
            <w:gridSpan w:val="2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任务要求</w:t>
            </w:r>
          </w:p>
        </w:tc>
        <w:tc>
          <w:tcPr>
            <w:tcW w:w="765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分值</w:t>
            </w:r>
          </w:p>
        </w:tc>
        <w:tc>
          <w:tcPr>
            <w:tcW w:w="945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第一轮</w:t>
            </w:r>
          </w:p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完成</w:t>
            </w:r>
          </w:p>
        </w:tc>
        <w:tc>
          <w:tcPr>
            <w:tcW w:w="975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第一轮</w:t>
            </w:r>
          </w:p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得分</w:t>
            </w:r>
          </w:p>
        </w:tc>
        <w:tc>
          <w:tcPr>
            <w:tcW w:w="975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第二轮</w:t>
            </w:r>
          </w:p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完成</w:t>
            </w:r>
          </w:p>
        </w:tc>
        <w:tc>
          <w:tcPr>
            <w:tcW w:w="1039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第二轮</w:t>
            </w:r>
          </w:p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得分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838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1</w:t>
            </w:r>
          </w:p>
        </w:tc>
        <w:tc>
          <w:tcPr>
            <w:tcW w:w="2985" w:type="dxa"/>
            <w:gridSpan w:val="2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left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机器人成功启动，并开始移动</w:t>
            </w: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；</w:t>
            </w:r>
          </w:p>
        </w:tc>
        <w:tc>
          <w:tcPr>
            <w:tcW w:w="765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15分</w:t>
            </w:r>
          </w:p>
        </w:tc>
        <w:tc>
          <w:tcPr>
            <w:tcW w:w="945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975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975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039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38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2</w:t>
            </w:r>
          </w:p>
        </w:tc>
        <w:tc>
          <w:tcPr>
            <w:tcW w:w="2985" w:type="dxa"/>
            <w:gridSpan w:val="2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left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每个抽签场景区成功完成抵达，每个道具识别准确并语音播报正确；识别错误或未播报，不得分；</w:t>
            </w:r>
          </w:p>
        </w:tc>
        <w:tc>
          <w:tcPr>
            <w:tcW w:w="765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10分</w:t>
            </w:r>
          </w:p>
        </w:tc>
        <w:tc>
          <w:tcPr>
            <w:tcW w:w="945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right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个</w:t>
            </w:r>
          </w:p>
        </w:tc>
        <w:tc>
          <w:tcPr>
            <w:tcW w:w="975" w:type="dxa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975" w:type="dxa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039" w:type="dxa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1" w:hRule="atLeast"/>
        </w:trPr>
        <w:tc>
          <w:tcPr>
            <w:tcW w:w="838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3</w:t>
            </w:r>
          </w:p>
        </w:tc>
        <w:tc>
          <w:tcPr>
            <w:tcW w:w="2985" w:type="dxa"/>
            <w:gridSpan w:val="2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both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类别标志区道具（上层任务道具）每个道具抓取成功，得10分</w:t>
            </w: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/个；</w:t>
            </w:r>
          </w:p>
        </w:tc>
        <w:tc>
          <w:tcPr>
            <w:tcW w:w="765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10分</w:t>
            </w:r>
          </w:p>
        </w:tc>
        <w:tc>
          <w:tcPr>
            <w:tcW w:w="945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right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个</w:t>
            </w:r>
          </w:p>
        </w:tc>
        <w:tc>
          <w:tcPr>
            <w:tcW w:w="975" w:type="dxa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975" w:type="dxa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039" w:type="dxa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1" w:hRule="atLeast"/>
        </w:trPr>
        <w:tc>
          <w:tcPr>
            <w:tcW w:w="838" w:type="dxa"/>
            <w:vMerge w:val="restart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4</w:t>
            </w:r>
          </w:p>
        </w:tc>
        <w:tc>
          <w:tcPr>
            <w:tcW w:w="2985" w:type="dxa"/>
            <w:gridSpan w:val="2"/>
            <w:vMerge w:val="restart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left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每个道具数据读取成功、机器人正确显示且 LED 灯常亮3秒，得10分；读取失败或显示异常，得5分；</w:t>
            </w:r>
          </w:p>
        </w:tc>
        <w:tc>
          <w:tcPr>
            <w:tcW w:w="765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10分</w:t>
            </w:r>
          </w:p>
        </w:tc>
        <w:tc>
          <w:tcPr>
            <w:tcW w:w="945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right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个</w:t>
            </w:r>
          </w:p>
        </w:tc>
        <w:tc>
          <w:tcPr>
            <w:tcW w:w="975" w:type="dxa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975" w:type="dxa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039" w:type="dxa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1" w:hRule="atLeast"/>
        </w:trPr>
        <w:tc>
          <w:tcPr>
            <w:tcW w:w="838" w:type="dxa"/>
            <w:vMerge w:val="continue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985" w:type="dxa"/>
            <w:gridSpan w:val="2"/>
            <w:vMerge w:val="continue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left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765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5分</w:t>
            </w:r>
          </w:p>
        </w:tc>
        <w:tc>
          <w:tcPr>
            <w:tcW w:w="945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right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个</w:t>
            </w:r>
          </w:p>
        </w:tc>
        <w:tc>
          <w:tcPr>
            <w:tcW w:w="975" w:type="dxa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975" w:type="dxa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039" w:type="dxa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1" w:hRule="atLeast"/>
        </w:trPr>
        <w:tc>
          <w:tcPr>
            <w:tcW w:w="838" w:type="dxa"/>
            <w:vMerge w:val="restart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5</w:t>
            </w:r>
          </w:p>
        </w:tc>
        <w:tc>
          <w:tcPr>
            <w:tcW w:w="2985" w:type="dxa"/>
            <w:gridSpan w:val="2"/>
            <w:vMerge w:val="restart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left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每个道具完全进入目标区域，得10分；不完全进入，得5分；完全不在区域，不得分；</w:t>
            </w:r>
          </w:p>
        </w:tc>
        <w:tc>
          <w:tcPr>
            <w:tcW w:w="765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10分</w:t>
            </w:r>
          </w:p>
        </w:tc>
        <w:tc>
          <w:tcPr>
            <w:tcW w:w="945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right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个</w:t>
            </w:r>
          </w:p>
        </w:tc>
        <w:tc>
          <w:tcPr>
            <w:tcW w:w="975" w:type="dxa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975" w:type="dxa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039" w:type="dxa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38" w:type="dxa"/>
            <w:vMerge w:val="continue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985" w:type="dxa"/>
            <w:gridSpan w:val="2"/>
            <w:vMerge w:val="continue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left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765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5分</w:t>
            </w:r>
          </w:p>
        </w:tc>
        <w:tc>
          <w:tcPr>
            <w:tcW w:w="945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right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个</w:t>
            </w:r>
          </w:p>
        </w:tc>
        <w:tc>
          <w:tcPr>
            <w:tcW w:w="975" w:type="dxa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975" w:type="dxa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039" w:type="dxa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838" w:type="dxa"/>
            <w:vMerge w:val="restart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6</w:t>
            </w:r>
          </w:p>
        </w:tc>
        <w:tc>
          <w:tcPr>
            <w:tcW w:w="2985" w:type="dxa"/>
            <w:gridSpan w:val="2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both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手势识别准确播报正确</w:t>
            </w: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；</w:t>
            </w:r>
          </w:p>
        </w:tc>
        <w:tc>
          <w:tcPr>
            <w:tcW w:w="765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10分</w:t>
            </w:r>
          </w:p>
        </w:tc>
        <w:tc>
          <w:tcPr>
            <w:tcW w:w="945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right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975" w:type="dxa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975" w:type="dxa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039" w:type="dxa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838" w:type="dxa"/>
            <w:vMerge w:val="continue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985" w:type="dxa"/>
            <w:gridSpan w:val="2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both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破解策略应答正确</w:t>
            </w: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；</w:t>
            </w:r>
          </w:p>
        </w:tc>
        <w:tc>
          <w:tcPr>
            <w:tcW w:w="765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10分</w:t>
            </w:r>
          </w:p>
        </w:tc>
        <w:tc>
          <w:tcPr>
            <w:tcW w:w="945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right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975" w:type="dxa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975" w:type="dxa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039" w:type="dxa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1" w:hRule="atLeast"/>
        </w:trPr>
        <w:tc>
          <w:tcPr>
            <w:tcW w:w="838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7</w:t>
            </w:r>
          </w:p>
        </w:tc>
        <w:tc>
          <w:tcPr>
            <w:tcW w:w="2985" w:type="dxa"/>
            <w:gridSpan w:val="2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both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机器人完全返回起始区；</w:t>
            </w:r>
          </w:p>
        </w:tc>
        <w:tc>
          <w:tcPr>
            <w:tcW w:w="765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15分</w:t>
            </w:r>
          </w:p>
        </w:tc>
        <w:tc>
          <w:tcPr>
            <w:tcW w:w="945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975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975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039" w:type="dxa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4588" w:type="dxa"/>
            <w:gridSpan w:val="4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每轮得分</w:t>
            </w:r>
          </w:p>
        </w:tc>
        <w:tc>
          <w:tcPr>
            <w:tcW w:w="1920" w:type="dxa"/>
            <w:gridSpan w:val="2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014" w:type="dxa"/>
            <w:gridSpan w:val="2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4588" w:type="dxa"/>
            <w:gridSpan w:val="4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每轮时长/秒</w:t>
            </w:r>
          </w:p>
        </w:tc>
        <w:tc>
          <w:tcPr>
            <w:tcW w:w="1920" w:type="dxa"/>
            <w:gridSpan w:val="2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014" w:type="dxa"/>
            <w:gridSpan w:val="2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4588" w:type="dxa"/>
            <w:gridSpan w:val="4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两轮总分合计</w:t>
            </w:r>
          </w:p>
        </w:tc>
        <w:tc>
          <w:tcPr>
            <w:tcW w:w="3934" w:type="dxa"/>
            <w:gridSpan w:val="4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4588" w:type="dxa"/>
            <w:gridSpan w:val="4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两轮总时长合计/秒</w:t>
            </w:r>
          </w:p>
        </w:tc>
        <w:tc>
          <w:tcPr>
            <w:tcW w:w="3934" w:type="dxa"/>
            <w:gridSpan w:val="4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8522" w:type="dxa"/>
            <w:gridSpan w:val="8"/>
            <w:vAlign w:val="center"/>
          </w:tcPr>
          <w:p>
            <w:pPr>
              <w:widowControl/>
              <w:tabs>
                <w:tab w:val="left" w:pos="2971"/>
              </w:tabs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仿宋" w:hAnsi="仿宋" w:eastAsia="仿宋" w:cs="仿宋"/>
                <w:sz w:val="24"/>
                <w:szCs w:val="32"/>
                <w:vertAlign w:val="baseline"/>
                <w:lang w:val="en-US" w:eastAsia="zh-CN"/>
              </w:rPr>
              <w:t>本人已确认以上比赛得分记录结果，真实有效，无任何异议。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2149" w:type="dxa"/>
            <w:gridSpan w:val="2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裁判员签字：</w:t>
            </w:r>
          </w:p>
        </w:tc>
        <w:tc>
          <w:tcPr>
            <w:tcW w:w="6373" w:type="dxa"/>
            <w:gridSpan w:val="6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2149" w:type="dxa"/>
            <w:gridSpan w:val="2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参赛员签字：</w:t>
            </w:r>
          </w:p>
        </w:tc>
        <w:tc>
          <w:tcPr>
            <w:tcW w:w="6373" w:type="dxa"/>
            <w:gridSpan w:val="6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2149" w:type="dxa"/>
            <w:gridSpan w:val="2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问题及备注：</w:t>
            </w:r>
          </w:p>
        </w:tc>
        <w:tc>
          <w:tcPr>
            <w:tcW w:w="6373" w:type="dxa"/>
            <w:gridSpan w:val="6"/>
            <w:vAlign w:val="center"/>
          </w:tcPr>
          <w:p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</w:tr>
    </w:tbl>
    <w:p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jc w:val="both"/>
        <w:textAlignment w:val="baseline"/>
        <w:rPr>
          <w:rFonts w:hint="default" w:ascii="Times New Roman" w:hAnsi="Times New Roman" w:eastAsia="仿宋" w:cs="Times New Roman"/>
          <w:b w:val="0"/>
          <w:bCs w:val="0"/>
          <w:snapToGrid w:val="0"/>
          <w:color w:val="000000"/>
          <w:kern w:val="0"/>
          <w:sz w:val="24"/>
          <w:szCs w:val="24"/>
          <w:lang w:val="en-US" w:eastAsia="zh-CN"/>
        </w:rPr>
      </w:pPr>
    </w:p>
    <w:sectPr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altName w:val="仿宋"/>
    <w:panose1 w:val="02010609030101010101"/>
    <w:charset w:val="86"/>
    <w:family w:val="auto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MS PGothic">
    <w:panose1 w:val="020B0600070205080204"/>
    <w:charset w:val="80"/>
    <w:family w:val="auto"/>
    <w:pitch w:val="default"/>
    <w:sig w:usb0="E00002FF" w:usb1="6AC7FDFB" w:usb2="08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92" w:lineRule="auto"/>
      <w:ind w:left="4080"/>
      <w:rPr>
        <w:rFonts w:hint="eastAsia" w:ascii="宋体" w:hAnsi="宋体" w:eastAsia="宋体" w:cs="宋体"/>
        <w:sz w:val="17"/>
        <w:szCs w:val="17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92" w:lineRule="auto"/>
      <w:ind w:left="4080"/>
      <w:rPr>
        <w:rFonts w:ascii="宋体" w:hAnsi="宋体" w:eastAsia="宋体" w:cs="宋体"/>
        <w:sz w:val="17"/>
        <w:szCs w:val="17"/>
      </w:rPr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2ExOTBhMjZhZTEyZWY1ODU1ODBjNzY3ZTUzNDFiYTEifQ=="/>
  </w:docVars>
  <w:rsids>
    <w:rsidRoot w:val="2EF075E4"/>
    <w:rsid w:val="047A4EA3"/>
    <w:rsid w:val="15791A87"/>
    <w:rsid w:val="15AC7766"/>
    <w:rsid w:val="173F3D2B"/>
    <w:rsid w:val="1B170F9D"/>
    <w:rsid w:val="200F584A"/>
    <w:rsid w:val="221E379A"/>
    <w:rsid w:val="23045086"/>
    <w:rsid w:val="279C010A"/>
    <w:rsid w:val="2E2E6E12"/>
    <w:rsid w:val="2EF075E4"/>
    <w:rsid w:val="2F8F7AE2"/>
    <w:rsid w:val="2FC11607"/>
    <w:rsid w:val="2FE9188B"/>
    <w:rsid w:val="37C624B2"/>
    <w:rsid w:val="3A7E0E22"/>
    <w:rsid w:val="3CAC611A"/>
    <w:rsid w:val="40AA0BC3"/>
    <w:rsid w:val="414D154E"/>
    <w:rsid w:val="438308FC"/>
    <w:rsid w:val="52777209"/>
    <w:rsid w:val="5BB5790E"/>
    <w:rsid w:val="5D97387D"/>
    <w:rsid w:val="65110961"/>
    <w:rsid w:val="74C908CC"/>
    <w:rsid w:val="74D1126D"/>
    <w:rsid w:val="798677EE"/>
    <w:rsid w:val="7AC06311"/>
    <w:rsid w:val="7FD77D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  <w:style w:type="table" w:styleId="4">
    <w:name w:val="Table Grid"/>
    <w:basedOn w:val="3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15</Pages>
  <Words>4867</Words>
  <Characters>5288</Characters>
  <Lines>0</Lines>
  <Paragraphs>0</Paragraphs>
  <TotalTime>1</TotalTime>
  <ScaleCrop>false</ScaleCrop>
  <LinksUpToDate>false</LinksUpToDate>
  <CharactersWithSpaces>5371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2025-12-01T08:10:00Z</dcterms:created>
  <dc:creator>老狗</dc:creator>
  <cp:lastModifiedBy>姚丽影</cp:lastModifiedBy>
  <dcterms:modified xsi:type="dcterms:W3CDTF">2026-03-19T08:27:50Z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30C6EB974B85410E9C57E000856AC64D_13</vt:lpwstr>
  </property>
  <property fmtid="{D5CDD505-2E9C-101B-9397-08002B2CF9AE}" pid="4" name="KSOTemplateDocerSaveRecord">
    <vt:lpwstr>eyJoZGlkIjoiMWVhNGYzYjY1MmY5NmFhNThlNjI1NDAyNTJlZDZiM2IiLCJ1c2VySWQiOiIxMzYyNzI1OTY5In0=</vt:lpwstr>
  </property>
</Properties>
</file>