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imes New Roman" w:hAnsi="Times New Roman" w:eastAsia="黑体" w:cs="Times New Roman"/>
          <w:color w:val="auto"/>
          <w:spacing w:val="31"/>
          <w:kern w:val="0"/>
          <w:sz w:val="52"/>
          <w:szCs w:val="52"/>
          <w:lang w:eastAsia="zh-CN"/>
        </w:rPr>
      </w:pPr>
      <w:bookmarkStart w:id="0" w:name="_bookmark1"/>
      <w:bookmarkEnd w:id="0"/>
      <w:r>
        <w:rPr>
          <w:rFonts w:hint="eastAsia" w:ascii="Times New Roman" w:hAnsi="Times New Roman" w:eastAsia="黑体" w:cs="Times New Roman"/>
          <w:color w:val="auto"/>
          <w:spacing w:val="31"/>
          <w:kern w:val="0"/>
          <w:sz w:val="52"/>
          <w:szCs w:val="52"/>
          <w:lang w:eastAsia="zh-CN"/>
        </w:rPr>
        <w:t>2026年</w:t>
      </w:r>
      <w:r>
        <w:rPr>
          <w:rFonts w:hint="eastAsia" w:ascii="Times New Roman" w:hAnsi="Times New Roman" w:eastAsia="黑体" w:cs="Times New Roman"/>
          <w:color w:val="auto"/>
          <w:spacing w:val="31"/>
          <w:kern w:val="0"/>
          <w:sz w:val="52"/>
          <w:szCs w:val="52"/>
          <w:lang w:val="en-US" w:eastAsia="zh-CN"/>
        </w:rPr>
        <w:t>苏州市</w:t>
      </w:r>
    </w:p>
    <w:p>
      <w:pPr>
        <w:spacing w:line="560" w:lineRule="exact"/>
        <w:jc w:val="center"/>
        <w:rPr>
          <w:rFonts w:hint="default" w:ascii="仿宋" w:hAnsi="仿宋" w:eastAsia="仿宋" w:cs="仿宋"/>
          <w:color w:val="auto"/>
          <w:sz w:val="52"/>
          <w:szCs w:val="52"/>
          <w:lang w:val="en-US" w:eastAsia="zh-CN"/>
        </w:rPr>
      </w:pPr>
      <w:r>
        <w:rPr>
          <w:rFonts w:hint="eastAsia" w:ascii="Times New Roman" w:hAnsi="Times New Roman" w:eastAsia="黑体" w:cs="Times New Roman"/>
          <w:color w:val="auto"/>
          <w:spacing w:val="31"/>
          <w:kern w:val="0"/>
          <w:sz w:val="52"/>
          <w:szCs w:val="52"/>
          <w:lang w:eastAsia="zh-CN"/>
        </w:rPr>
        <w:t>中小学生</w:t>
      </w:r>
      <w:r>
        <w:rPr>
          <w:rFonts w:hint="eastAsia" w:ascii="Times New Roman" w:hAnsi="Times New Roman" w:eastAsia="黑体" w:cs="Times New Roman"/>
          <w:color w:val="auto"/>
          <w:spacing w:val="31"/>
          <w:kern w:val="0"/>
          <w:sz w:val="52"/>
          <w:szCs w:val="52"/>
          <w:lang w:val="en-US" w:eastAsia="zh-CN"/>
        </w:rPr>
        <w:t>人工智能素养大赛</w:t>
      </w:r>
    </w:p>
    <w:p>
      <w:pPr>
        <w:spacing w:line="560" w:lineRule="exact"/>
        <w:jc w:val="center"/>
        <w:rPr>
          <w:rFonts w:ascii="Times New Roman" w:hAnsi="Times New Roman" w:eastAsia="黑体" w:cs="Times New Roman"/>
          <w:color w:val="auto"/>
          <w:spacing w:val="31"/>
          <w:sz w:val="50"/>
          <w:szCs w:val="50"/>
          <w:lang w:eastAsia="zh-CN"/>
        </w:rPr>
      </w:pPr>
    </w:p>
    <w:p>
      <w:pPr>
        <w:spacing w:line="360" w:lineRule="auto"/>
        <w:jc w:val="center"/>
        <w:rPr>
          <w:rFonts w:ascii="Times New Roman" w:hAnsi="Times New Roman" w:eastAsia="黑体" w:cs="Times New Roman"/>
          <w:color w:val="auto"/>
          <w:sz w:val="56"/>
          <w:szCs w:val="96"/>
        </w:rPr>
      </w:pPr>
    </w:p>
    <w:p>
      <w:pPr>
        <w:spacing w:line="360" w:lineRule="auto"/>
        <w:jc w:val="center"/>
        <w:rPr>
          <w:rFonts w:ascii="Times New Roman" w:hAnsi="Times New Roman" w:eastAsia="黑体" w:cs="Times New Roman"/>
          <w:color w:val="auto"/>
          <w:sz w:val="44"/>
          <w:szCs w:val="44"/>
        </w:rPr>
      </w:pPr>
      <w:r>
        <w:rPr>
          <w:rFonts w:ascii="Times New Roman" w:hAnsi="Times New Roman" w:eastAsia="黑体" w:cs="Times New Roman"/>
          <w:color w:val="auto"/>
          <w:sz w:val="44"/>
          <w:szCs w:val="44"/>
        </w:rPr>
        <w:t>智能机器人——C类：可编程控制的</w:t>
      </w:r>
    </w:p>
    <w:p>
      <w:pPr>
        <w:jc w:val="center"/>
        <w:rPr>
          <w:rFonts w:ascii="Times New Roman" w:hAnsi="Times New Roman" w:eastAsia="黑体" w:cs="Times New Roman"/>
          <w:color w:val="auto"/>
          <w:sz w:val="48"/>
          <w:szCs w:val="56"/>
        </w:rPr>
      </w:pPr>
      <w:r>
        <w:rPr>
          <w:rFonts w:ascii="Times New Roman" w:hAnsi="Times New Roman" w:eastAsia="黑体" w:cs="Times New Roman"/>
          <w:color w:val="auto"/>
          <w:sz w:val="44"/>
          <w:szCs w:val="44"/>
        </w:rPr>
        <w:t>空中飞行器（飞行机器人）</w:t>
      </w:r>
    </w:p>
    <w:p>
      <w:pPr>
        <w:jc w:val="center"/>
        <w:rPr>
          <w:rFonts w:ascii="Times New Roman" w:hAnsi="Times New Roman" w:eastAsia="黑体" w:cs="Times New Roman"/>
          <w:color w:val="auto"/>
          <w:sz w:val="48"/>
          <w:szCs w:val="56"/>
        </w:rPr>
      </w:pPr>
    </w:p>
    <w:p>
      <w:pPr>
        <w:jc w:val="center"/>
        <w:rPr>
          <w:rFonts w:ascii="Times New Roman" w:hAnsi="Times New Roman" w:eastAsia="黑体" w:cs="Times New Roman"/>
          <w:color w:val="auto"/>
          <w:sz w:val="48"/>
          <w:szCs w:val="56"/>
        </w:rPr>
      </w:pPr>
    </w:p>
    <w:p>
      <w:pPr>
        <w:spacing w:line="360" w:lineRule="auto"/>
        <w:jc w:val="center"/>
        <w:rPr>
          <w:rFonts w:ascii="Times New Roman" w:hAnsi="Times New Roman" w:eastAsia="黑体" w:cs="Times New Roman"/>
          <w:color w:val="auto"/>
          <w:sz w:val="52"/>
          <w:szCs w:val="52"/>
          <w:lang w:bidi="zh-CN"/>
        </w:rPr>
      </w:pPr>
      <w:r>
        <w:rPr>
          <w:rFonts w:ascii="Times New Roman" w:hAnsi="Times New Roman" w:eastAsia="黑体" w:cs="Times New Roman"/>
          <w:color w:val="auto"/>
          <w:sz w:val="52"/>
          <w:szCs w:val="52"/>
          <w:lang w:bidi="zh-CN"/>
        </w:rPr>
        <w:t>规</w:t>
      </w:r>
    </w:p>
    <w:p>
      <w:pPr>
        <w:spacing w:line="360" w:lineRule="auto"/>
        <w:jc w:val="center"/>
        <w:rPr>
          <w:rFonts w:ascii="Times New Roman" w:hAnsi="Times New Roman" w:eastAsia="黑体" w:cs="Times New Roman"/>
          <w:color w:val="auto"/>
          <w:sz w:val="52"/>
          <w:szCs w:val="52"/>
          <w:lang w:bidi="zh-CN"/>
        </w:rPr>
      </w:pPr>
      <w:r>
        <w:rPr>
          <w:rFonts w:ascii="Times New Roman" w:hAnsi="Times New Roman" w:eastAsia="黑体" w:cs="Times New Roman"/>
          <w:color w:val="auto"/>
          <w:sz w:val="52"/>
          <w:szCs w:val="52"/>
          <w:lang w:bidi="zh-CN"/>
        </w:rPr>
        <w:t>则</w:t>
      </w:r>
    </w:p>
    <w:p>
      <w:pPr>
        <w:spacing w:line="360" w:lineRule="auto"/>
        <w:jc w:val="center"/>
        <w:rPr>
          <w:rFonts w:ascii="Times New Roman" w:hAnsi="Times New Roman" w:eastAsia="黑体" w:cs="Times New Roman"/>
          <w:color w:val="auto"/>
          <w:sz w:val="72"/>
          <w:szCs w:val="72"/>
          <w:lang w:bidi="zh-CN"/>
        </w:rPr>
      </w:pPr>
    </w:p>
    <w:p>
      <w:pPr>
        <w:widowControl w:val="0"/>
        <w:kinsoku/>
        <w:autoSpaceDE/>
        <w:autoSpaceDN/>
        <w:adjustRightInd/>
        <w:snapToGrid/>
        <w:spacing w:line="360" w:lineRule="auto"/>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苏州市电化教育馆</w:t>
      </w:r>
    </w:p>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40"/>
          <w:szCs w:val="40"/>
        </w:rPr>
        <w:sectPr>
          <w:footerReference r:id="rId3" w:type="default"/>
          <w:pgSz w:w="11910" w:h="16840"/>
          <w:pgMar w:top="2268" w:right="1134" w:bottom="2268" w:left="1134" w:header="0" w:footer="981" w:gutter="0"/>
          <w:pgNumType w:fmt="numberInDash"/>
          <w:cols w:space="0" w:num="1"/>
        </w:sectPr>
      </w:pPr>
      <w:r>
        <w:rPr>
          <w:rFonts w:hint="eastAsia" w:ascii="黑体" w:hAnsi="黑体" w:eastAsia="黑体" w:cs="黑体"/>
          <w:snapToGrid/>
          <w:color w:val="auto"/>
          <w:kern w:val="2"/>
          <w:sz w:val="44"/>
          <w:szCs w:val="44"/>
        </w:rPr>
        <w:t>202</w:t>
      </w:r>
      <w:r>
        <w:rPr>
          <w:rFonts w:hint="eastAsia" w:ascii="黑体" w:hAnsi="黑体" w:eastAsia="黑体" w:cs="黑体"/>
          <w:snapToGrid/>
          <w:color w:val="auto"/>
          <w:kern w:val="2"/>
          <w:sz w:val="44"/>
          <w:szCs w:val="44"/>
          <w:lang w:val="en-US" w:eastAsia="zh-CN"/>
        </w:rPr>
        <w:t>6</w:t>
      </w:r>
      <w:r>
        <w:rPr>
          <w:rFonts w:hint="eastAsia" w:ascii="黑体" w:hAnsi="黑体" w:eastAsia="黑体" w:cs="黑体"/>
          <w:snapToGrid/>
          <w:color w:val="auto"/>
          <w:kern w:val="2"/>
          <w:sz w:val="44"/>
          <w:szCs w:val="44"/>
        </w:rPr>
        <w:t>年</w:t>
      </w:r>
      <w:r>
        <w:rPr>
          <w:rFonts w:hint="eastAsia" w:ascii="黑体" w:hAnsi="黑体" w:eastAsia="黑体" w:cs="黑体"/>
          <w:snapToGrid/>
          <w:color w:val="auto"/>
          <w:kern w:val="2"/>
          <w:sz w:val="44"/>
          <w:szCs w:val="44"/>
          <w:lang w:val="en-US" w:eastAsia="zh-CN"/>
        </w:rPr>
        <w:t>3</w:t>
      </w:r>
      <w:r>
        <w:rPr>
          <w:rFonts w:hint="eastAsia" w:ascii="黑体" w:hAnsi="黑体" w:eastAsia="黑体" w:cs="黑体"/>
          <w:snapToGrid/>
          <w:color w:val="auto"/>
          <w:kern w:val="2"/>
          <w:sz w:val="44"/>
          <w:szCs w:val="44"/>
        </w:rPr>
        <w:t>月</w:t>
      </w:r>
    </w:p>
    <w:p>
      <w:pPr>
        <w:spacing w:line="560" w:lineRule="exact"/>
        <w:ind w:firstLine="640" w:firstLineChars="200"/>
        <w:jc w:val="both"/>
        <w:outlineLvl w:val="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一、机器人界定</w:t>
      </w:r>
    </w:p>
    <w:p>
      <w:pPr>
        <w:spacing w:line="560" w:lineRule="exact"/>
        <w:ind w:firstLine="320" w:firstLineChars="1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（一）飞行机器人硬件要求</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rPr>
        <w:t xml:space="preserve"> </w:t>
      </w:r>
      <w:r>
        <w:rPr>
          <w:rFonts w:hint="eastAsia" w:ascii="Times New Roman" w:hAnsi="Times New Roman" w:eastAsia="仿宋_GB2312" w:cs="Times New Roman"/>
          <w:sz w:val="32"/>
          <w:szCs w:val="32"/>
        </w:rPr>
        <w:t>利用成品机器人加以改造或自行设计并制作的飞行机器人，提倡使用开源硬件和软件自行设计制作飞行机器人。</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每支队伍限携带</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台机器人进入场地，自带备用的零部件数量不限。</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在设计、制作和调试飞行机器人时，应结合任务特点并充分考虑信道、光线、气压、电磁场等环境因素对飞行机器人运行产生的干扰和影响，可适当关注电池电量、调整信道、信道加密、使其充分适应现场环境自主完成任务。</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2.飞行机器人旋翼数</w:t>
      </w:r>
      <w:r>
        <w:rPr>
          <w:rFonts w:hint="eastAsia" w:ascii="Times New Roman" w:hAnsi="Times New Roman" w:eastAsia="仿宋_GB2312" w:cs="Times New Roman"/>
          <w:sz w:val="32"/>
          <w:szCs w:val="32"/>
        </w:rPr>
        <w:t>不限</w:t>
      </w:r>
      <w:r>
        <w:rPr>
          <w:rFonts w:ascii="Times New Roman" w:hAnsi="Times New Roman" w:eastAsia="仿宋_GB2312" w:cs="Times New Roman"/>
          <w:sz w:val="32"/>
          <w:szCs w:val="32"/>
        </w:rPr>
        <w:t>，飞行器在起飞区域内的尺寸上限均不超过300mm，整机重量≤250g，供电电压≤12V，使用空心杯电机，带保护罩，完全离开起飞区域后其尺寸不再受限。</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任务结构件：参赛选手自主设计完成任务所需结构件，与无人飞行器机体的连接方式、位置由参赛队伍自行决定。结构件不计入无人飞行器机体尺寸，但不得改变无人飞行器的原始起飞和降落方式，并不得对无人飞行器的起飞和降落构成安全隐患(无人飞行器安装该结构件后，机体最高处垂直高度距停机坪地面距离都不能超过300mm，且放置在起飞区时不超出起降区边界)。在投入使用前必须交由场地裁判审验，经过裁判允许方可使用，如不符合要求，需要在正式比赛前进行整改直至通过裁判审验。</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4.定位方式：能够使用诸如图像识别、UWB、蓝牙AOA 或其他各种技术手段来实现精准定位。现场允许使用引导飞行的二维码或其他标记物（方便放置且不会被无人机吹动，底部可用类似鼠标垫材质），可遮盖于地图上，但不得对他人比赛产生干扰、不能用胶粘在场地上。使用标记物的总数不超过</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个，标记物尺寸上限为100mm×100mm。参赛选手在赛前自行布置场地，并配合裁判员测试检查，放定后一轮比赛中不能再移动位置。（注：每场比赛布置场地时间不超过2分钟，否则被视为放弃本场比赛。）</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5.在不影响比赛的基础上，机器人可进行个性化的装饰， 以增强其表现力和辨识度。</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（二）机器人软件要求</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在PC或平板端使用的无人机编程软件，所有程序均需参赛选手自行在规定的调试时间内编写。</w:t>
      </w:r>
    </w:p>
    <w:p>
      <w:pPr>
        <w:spacing w:line="560" w:lineRule="exact"/>
        <w:ind w:firstLine="640" w:firstLineChars="200"/>
        <w:jc w:val="both"/>
        <w:outlineLvl w:val="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二、场地与环境</w:t>
      </w:r>
      <w:bookmarkStart w:id="1" w:name="3.1__场地构成"/>
      <w:bookmarkEnd w:id="1"/>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（一）场地构成</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飞行场地为尺寸约</w:t>
      </w:r>
      <w:r>
        <w:rPr>
          <w:rFonts w:ascii="Times New Roman" w:hAnsi="Times New Roman" w:eastAsia="仿宋_GB2312" w:cs="Times New Roman"/>
          <w:sz w:val="32"/>
          <w:szCs w:val="32"/>
        </w:rPr>
        <w:t>4000mm×4000mm</w:t>
      </w:r>
      <w:r>
        <w:rPr>
          <w:rFonts w:hint="eastAsia" w:ascii="Times New Roman" w:hAnsi="Times New Roman" w:eastAsia="仿宋_GB2312" w:cs="Times New Roman"/>
          <w:sz w:val="32"/>
          <w:szCs w:val="32"/>
        </w:rPr>
        <w:t>哑光刀刮布材质喷绘地图。基地和备降区分别为</w:t>
      </w:r>
      <w:r>
        <w:rPr>
          <w:rFonts w:ascii="Times New Roman" w:hAnsi="Times New Roman" w:eastAsia="仿宋_GB2312" w:cs="Times New Roman"/>
          <w:sz w:val="32"/>
          <w:szCs w:val="32"/>
        </w:rPr>
        <w:t>400mm×400mm</w:t>
      </w:r>
      <w:r>
        <w:rPr>
          <w:rFonts w:hint="eastAsia" w:ascii="Times New Roman" w:hAnsi="Times New Roman" w:eastAsia="仿宋_GB2312" w:cs="Times New Roman"/>
          <w:sz w:val="32"/>
          <w:szCs w:val="32"/>
        </w:rPr>
        <w:t>的正方形；基地下沿紧贴外框，下沿中心点与外框中心点对齐；备降区位于</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个顶角外沿紧贴外框线。任务区为尺寸约</w:t>
      </w:r>
      <w:r>
        <w:rPr>
          <w:rFonts w:ascii="Times New Roman" w:hAnsi="Times New Roman" w:eastAsia="仿宋_GB2312" w:cs="Times New Roman"/>
          <w:sz w:val="32"/>
          <w:szCs w:val="32"/>
        </w:rPr>
        <w:t>2400mm×2400mm</w:t>
      </w:r>
      <w:r>
        <w:rPr>
          <w:rFonts w:hint="eastAsia" w:ascii="Times New Roman" w:hAnsi="Times New Roman" w:eastAsia="仿宋_GB2312" w:cs="Times New Roman"/>
          <w:sz w:val="32"/>
          <w:szCs w:val="32"/>
        </w:rPr>
        <w:t>的正方形，其内部由</w:t>
      </w:r>
      <w:r>
        <w:rPr>
          <w:rFonts w:ascii="Times New Roman" w:hAnsi="Times New Roman" w:eastAsia="仿宋_GB2312" w:cs="Times New Roman"/>
          <w:sz w:val="32"/>
          <w:szCs w:val="32"/>
        </w:rPr>
        <w:t>36</w:t>
      </w:r>
      <w:r>
        <w:rPr>
          <w:rFonts w:hint="eastAsia" w:ascii="Times New Roman" w:hAnsi="Times New Roman" w:eastAsia="仿宋_GB2312" w:cs="Times New Roman"/>
          <w:sz w:val="32"/>
          <w:szCs w:val="32"/>
        </w:rPr>
        <w:t>个小正方形组成，每个小正方形尺寸约为</w:t>
      </w:r>
      <w:r>
        <w:rPr>
          <w:rFonts w:ascii="Times New Roman" w:hAnsi="Times New Roman" w:eastAsia="仿宋_GB2312" w:cs="Times New Roman"/>
          <w:sz w:val="32"/>
          <w:szCs w:val="32"/>
        </w:rPr>
        <w:t>400mm×400mm</w:t>
      </w:r>
      <w:r>
        <w:rPr>
          <w:rFonts w:hint="eastAsia" w:ascii="Times New Roman" w:hAnsi="Times New Roman" w:eastAsia="仿宋_GB2312" w:cs="Times New Roman"/>
          <w:sz w:val="32"/>
          <w:szCs w:val="32"/>
        </w:rPr>
        <w:t>。用图示坐标表示，</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为“物流基地”区域；</w:t>
      </w:r>
      <w:r>
        <w:rPr>
          <w:rFonts w:ascii="Times New Roman" w:hAnsi="Times New Roman" w:eastAsia="仿宋_GB2312" w:cs="Times New Roman"/>
          <w:sz w:val="32"/>
          <w:szCs w:val="32"/>
        </w:rPr>
        <w:t>C5-E7</w:t>
      </w:r>
      <w:r>
        <w:rPr>
          <w:rFonts w:hint="eastAsia" w:ascii="Times New Roman" w:hAnsi="Times New Roman" w:eastAsia="仿宋_GB2312" w:cs="Times New Roman"/>
          <w:sz w:val="32"/>
          <w:szCs w:val="32"/>
        </w:rPr>
        <w:t>为“隧道穿越”区域；</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为“空中侦测”区域；</w:t>
      </w:r>
      <w:r>
        <w:rPr>
          <w:rFonts w:ascii="Times New Roman" w:hAnsi="Times New Roman" w:eastAsia="仿宋_GB2312" w:cs="Times New Roman"/>
          <w:sz w:val="32"/>
          <w:szCs w:val="32"/>
        </w:rPr>
        <w:t>F2-H4</w:t>
      </w:r>
      <w:r>
        <w:rPr>
          <w:rFonts w:hint="eastAsia" w:ascii="Times New Roman" w:hAnsi="Times New Roman" w:eastAsia="仿宋_GB2312" w:cs="Times New Roman"/>
          <w:sz w:val="32"/>
          <w:szCs w:val="32"/>
        </w:rPr>
        <w:t>为“高空救援”区域。具体如图</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、图</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所示。</w:t>
      </w:r>
      <w:r>
        <w:rPr>
          <w:rFonts w:ascii="Times New Roman" w:hAnsi="Times New Roman" w:eastAsia="仿宋_GB2312" w:cs="Times New Roman"/>
          <w:sz w:val="32"/>
          <w:szCs w:val="32"/>
        </w:rPr>
        <w:t xml:space="preserve"> </w:t>
      </w:r>
    </w:p>
    <w:p>
      <w:pPr>
        <w:pStyle w:val="3"/>
        <w:overflowPunct w:val="0"/>
        <w:spacing w:before="62" w:line="360" w:lineRule="auto"/>
        <w:ind w:left="119"/>
        <w:jc w:val="both"/>
        <w:rPr>
          <w:rFonts w:ascii="Times New Roman" w:hAnsi="Times New Roman" w:cs="Times New Roman"/>
          <w:sz w:val="20"/>
        </w:rPr>
      </w:pPr>
      <w:r>
        <w:rPr>
          <w:rFonts w:ascii="Times New Roman" w:hAnsi="Times New Roman" w:cs="Times New Roman"/>
          <w:sz w:val="28"/>
        </w:rPr>
        <w:t xml:space="preserve"> </w:t>
      </w:r>
    </w:p>
    <w:p>
      <w:pPr>
        <w:pStyle w:val="3"/>
        <w:overflowPunct w:val="0"/>
        <w:spacing w:before="1" w:line="360" w:lineRule="auto"/>
        <w:jc w:val="both"/>
        <w:rPr>
          <w:rFonts w:ascii="Times New Roman" w:hAnsi="Times New Roman" w:cs="Times New Roman"/>
          <w:sz w:val="23"/>
        </w:rPr>
      </w:pPr>
    </w:p>
    <w:p>
      <w:pPr>
        <w:pStyle w:val="3"/>
        <w:tabs>
          <w:tab w:val="left" w:pos="659"/>
        </w:tabs>
        <w:overflowPunct w:val="0"/>
        <w:spacing w:before="67" w:line="360" w:lineRule="auto"/>
        <w:ind w:left="0" w:right="16"/>
        <w:jc w:val="center"/>
        <w:rPr>
          <w:rFonts w:ascii="Times New Roman" w:hAnsi="Times New Roman" w:eastAsia="仿宋" w:cs="Times New Roman"/>
          <w:b/>
          <w:bCs/>
          <w:color w:val="auto"/>
        </w:rPr>
      </w:pPr>
      <w:r>
        <w:rPr>
          <w:rFonts w:hint="eastAsia" w:ascii="宋体" w:hAnsi="宋体" w:eastAsia="宋体" w:cs="宋体"/>
          <w:sz w:val="28"/>
          <w:szCs w:val="28"/>
        </w:rPr>
        <w:drawing>
          <wp:inline distT="0" distB="0" distL="114300" distR="114300">
            <wp:extent cx="5272405" cy="5272405"/>
            <wp:effectExtent l="0" t="0" r="635" b="635"/>
            <wp:docPr id="2" name="图片 2" descr="地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地图"/>
                    <pic:cNvPicPr>
                      <a:picLocks noChangeAspect="1"/>
                    </pic:cNvPicPr>
                  </pic:nvPicPr>
                  <pic:blipFill>
                    <a:blip r:embed="rId6"/>
                    <a:stretch>
                      <a:fillRect/>
                    </a:stretch>
                  </pic:blipFill>
                  <pic:spPr>
                    <a:xfrm>
                      <a:off x="0" y="0"/>
                      <a:ext cx="5272405" cy="5272405"/>
                    </a:xfrm>
                    <a:prstGeom prst="rect">
                      <a:avLst/>
                    </a:prstGeom>
                  </pic:spPr>
                </pic:pic>
              </a:graphicData>
            </a:graphic>
          </wp:inline>
        </w:drawing>
      </w:r>
    </w:p>
    <w:p>
      <w:pPr>
        <w:pStyle w:val="3"/>
        <w:tabs>
          <w:tab w:val="left" w:pos="659"/>
        </w:tabs>
        <w:overflowPunct w:val="0"/>
        <w:spacing w:before="67" w:line="360" w:lineRule="auto"/>
        <w:ind w:left="0" w:right="16"/>
        <w:jc w:val="center"/>
        <w:rPr>
          <w:rFonts w:ascii="Times New Roman" w:hAnsi="Times New Roman" w:eastAsia="仿宋" w:cs="Times New Roman"/>
          <w:b/>
          <w:bCs/>
          <w:color w:val="auto"/>
        </w:rPr>
      </w:pPr>
      <w:r>
        <w:rPr>
          <w:rFonts w:ascii="Times New Roman" w:hAnsi="Times New Roman" w:eastAsia="仿宋" w:cs="Times New Roman"/>
          <w:b/>
          <w:bCs/>
          <w:color w:val="auto"/>
        </w:rPr>
        <w:t>图 1</w:t>
      </w:r>
      <w:r>
        <w:rPr>
          <w:rFonts w:ascii="Times New Roman" w:hAnsi="Times New Roman" w:eastAsia="仿宋" w:cs="Times New Roman"/>
          <w:b/>
          <w:bCs/>
          <w:color w:val="auto"/>
        </w:rPr>
        <w:tab/>
      </w:r>
      <w:r>
        <w:rPr>
          <w:rFonts w:ascii="Times New Roman" w:hAnsi="Times New Roman" w:eastAsia="仿宋" w:cs="Times New Roman"/>
          <w:b/>
          <w:bCs/>
          <w:color w:val="auto"/>
        </w:rPr>
        <w:t>场地平面示意图</w:t>
      </w:r>
    </w:p>
    <w:p>
      <w:pPr>
        <w:pStyle w:val="3"/>
        <w:overflowPunct w:val="0"/>
        <w:spacing w:before="10" w:line="360" w:lineRule="auto"/>
        <w:ind w:left="0"/>
        <w:jc w:val="both"/>
        <w:rPr>
          <w:rFonts w:ascii="Times New Roman" w:hAnsi="Times New Roman" w:eastAsia="仿宋" w:cs="Times New Roman"/>
          <w:b/>
          <w:bCs/>
          <w:color w:val="auto"/>
        </w:rPr>
      </w:pPr>
      <w:r>
        <w:rPr>
          <w:rFonts w:hint="eastAsia" w:ascii="宋体" w:hAnsi="宋体" w:eastAsia="宋体" w:cs="宋体"/>
          <w:sz w:val="28"/>
          <w:szCs w:val="28"/>
        </w:rPr>
        <w:drawing>
          <wp:inline distT="0" distB="0" distL="114300" distR="114300">
            <wp:extent cx="5649595" cy="4260850"/>
            <wp:effectExtent l="0" t="0" r="8255" b="6350"/>
            <wp:docPr id="3" name="图片 3" descr="132b988a9c081ed80659fa004230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32b988a9c081ed80659fa0042303527"/>
                    <pic:cNvPicPr>
                      <a:picLocks noChangeAspect="1"/>
                    </pic:cNvPicPr>
                  </pic:nvPicPr>
                  <pic:blipFill>
                    <a:blip r:embed="rId7"/>
                    <a:srcRect l="4938" t="14864" r="5901" b="5874"/>
                    <a:stretch>
                      <a:fillRect/>
                    </a:stretch>
                  </pic:blipFill>
                  <pic:spPr>
                    <a:xfrm>
                      <a:off x="0" y="0"/>
                      <a:ext cx="5670915" cy="4276823"/>
                    </a:xfrm>
                    <a:prstGeom prst="rect">
                      <a:avLst/>
                    </a:prstGeom>
                  </pic:spPr>
                </pic:pic>
              </a:graphicData>
            </a:graphic>
          </wp:inline>
        </w:drawing>
      </w:r>
    </w:p>
    <w:p>
      <w:pPr>
        <w:pStyle w:val="3"/>
        <w:overflowPunct w:val="0"/>
        <w:spacing w:before="10" w:line="360" w:lineRule="auto"/>
        <w:ind w:left="0"/>
        <w:jc w:val="center"/>
        <w:rPr>
          <w:rFonts w:ascii="Times New Roman" w:hAnsi="Times New Roman" w:eastAsia="仿宋" w:cs="Times New Roman"/>
          <w:b/>
          <w:bCs/>
          <w:color w:val="auto"/>
        </w:rPr>
      </w:pPr>
      <w:r>
        <w:rPr>
          <w:rFonts w:ascii="Times New Roman" w:hAnsi="Times New Roman" w:eastAsia="仿宋" w:cs="Times New Roman"/>
          <w:b/>
          <w:bCs/>
          <w:color w:val="auto"/>
        </w:rPr>
        <w:t>图 2</w:t>
      </w:r>
      <w:r>
        <w:rPr>
          <w:rFonts w:ascii="Times New Roman" w:hAnsi="Times New Roman" w:eastAsia="仿宋" w:cs="Times New Roman"/>
          <w:b/>
          <w:bCs/>
          <w:color w:val="auto"/>
        </w:rPr>
        <w:tab/>
      </w:r>
      <w:r>
        <w:rPr>
          <w:rFonts w:ascii="Times New Roman" w:hAnsi="Times New Roman" w:eastAsia="仿宋" w:cs="Times New Roman"/>
          <w:b/>
          <w:bCs/>
          <w:color w:val="auto"/>
        </w:rPr>
        <w:t>场地侧视示意图</w:t>
      </w:r>
    </w:p>
    <w:p>
      <w:pPr>
        <w:pStyle w:val="3"/>
        <w:tabs>
          <w:tab w:val="left" w:pos="659"/>
        </w:tabs>
        <w:overflowPunct w:val="0"/>
        <w:spacing w:line="560" w:lineRule="exact"/>
        <w:ind w:left="0"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（二）赛场环境</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比赛场地环境光源以现场照明为准，活动场地无电扇或空调直吹风，活动场地上方净空高度不小于2.5米。由于一般赛场环境的不确定因素较多，如：场地纸不平整、有环境微风干扰、光照不均匀、比赛场地尺寸可能存在±2cm的误差等，参赛队在调试飞行器时必须给予充分考虑。</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（三）道具</w:t>
      </w:r>
    </w:p>
    <w:p>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1.物流基地</w:t>
      </w:r>
    </w:p>
    <w:p>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ascii="Times New Roman" w:hAnsi="Times New Roman" w:eastAsia="仿宋_GB2312" w:cs="Times New Roman"/>
          <w:snapToGrid/>
          <w:color w:val="auto"/>
          <w:kern w:val="2"/>
          <w:sz w:val="28"/>
          <w:szCs w:val="28"/>
        </w:rPr>
        <w:t>物流平台长宽约400mm，高度约800-1000mm。从物流基地区域抽取1个小正方形摆放物流平台，平台垂直投影与所在小正方形边线对齐。物流平台形式和材料不限，如图3所示。</w:t>
      </w:r>
    </w:p>
    <w:p>
      <w:pPr>
        <w:widowControl w:val="0"/>
        <w:kinsoku/>
        <w:autoSpaceDE/>
        <w:autoSpaceDN/>
        <w:adjustRightInd/>
        <w:snapToGrid/>
        <w:spacing w:line="360" w:lineRule="auto"/>
        <w:jc w:val="center"/>
        <w:textAlignment w:val="auto"/>
        <w:rPr>
          <w:rFonts w:ascii="宋体" w:hAnsi="宋体" w:eastAsia="宋体" w:cs="宋体"/>
          <w:snapToGrid/>
          <w:color w:val="auto"/>
          <w:kern w:val="2"/>
          <w:sz w:val="28"/>
          <w:szCs w:val="28"/>
        </w:rPr>
      </w:pPr>
      <w:r>
        <w:rPr>
          <w:rFonts w:hint="eastAsia" w:ascii="宋体" w:hAnsi="宋体" w:eastAsia="宋体" w:cs="宋体"/>
          <w:snapToGrid/>
          <w:color w:val="auto"/>
          <w:kern w:val="2"/>
          <w:sz w:val="28"/>
          <w:szCs w:val="28"/>
        </w:rPr>
        <w:drawing>
          <wp:inline distT="0" distB="0" distL="114300" distR="114300">
            <wp:extent cx="1101725" cy="1270000"/>
            <wp:effectExtent l="0" t="0" r="3175" b="6350"/>
            <wp:docPr id="6" name="图片 6" descr="b6b217d9a4b65bfca356fe23d3d68d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6b217d9a4b65bfca356fe23d3d68db2"/>
                    <pic:cNvPicPr>
                      <a:picLocks noChangeAspect="1"/>
                    </pic:cNvPicPr>
                  </pic:nvPicPr>
                  <pic:blipFill>
                    <a:blip r:embed="rId8"/>
                    <a:stretch>
                      <a:fillRect/>
                    </a:stretch>
                  </pic:blipFill>
                  <pic:spPr>
                    <a:xfrm>
                      <a:off x="0" y="0"/>
                      <a:ext cx="1109448" cy="1278320"/>
                    </a:xfrm>
                    <a:prstGeom prst="rect">
                      <a:avLst/>
                    </a:prstGeom>
                  </pic:spPr>
                </pic:pic>
              </a:graphicData>
            </a:graphic>
          </wp:inline>
        </w:drawing>
      </w:r>
      <w:r>
        <w:rPr>
          <w:rFonts w:hint="eastAsia" w:ascii="宋体" w:hAnsi="宋体" w:eastAsia="宋体" w:cs="宋体"/>
          <w:snapToGrid/>
          <w:color w:val="auto"/>
          <w:kern w:val="2"/>
          <w:sz w:val="28"/>
          <w:szCs w:val="28"/>
        </w:rPr>
        <w:t xml:space="preserve">                </w:t>
      </w:r>
      <w:r>
        <w:rPr>
          <w:rFonts w:hint="eastAsia" w:ascii="宋体" w:hAnsi="宋体" w:eastAsia="宋体" w:cs="宋体"/>
          <w:snapToGrid/>
          <w:color w:val="auto"/>
          <w:kern w:val="2"/>
          <w:sz w:val="28"/>
          <w:szCs w:val="28"/>
        </w:rPr>
        <w:drawing>
          <wp:inline distT="0" distB="0" distL="114300" distR="114300">
            <wp:extent cx="992505" cy="1219200"/>
            <wp:effectExtent l="0" t="0" r="0" b="0"/>
            <wp:docPr id="8" name="图片 8" descr="34eaa159d044e9880d9229553a16d7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4eaa159d044e9880d9229553a16d79b"/>
                    <pic:cNvPicPr>
                      <a:picLocks noChangeAspect="1"/>
                    </pic:cNvPicPr>
                  </pic:nvPicPr>
                  <pic:blipFill>
                    <a:blip r:embed="rId9"/>
                    <a:stretch>
                      <a:fillRect/>
                    </a:stretch>
                  </pic:blipFill>
                  <pic:spPr>
                    <a:xfrm>
                      <a:off x="0" y="0"/>
                      <a:ext cx="998874" cy="1226831"/>
                    </a:xfrm>
                    <a:prstGeom prst="rect">
                      <a:avLst/>
                    </a:prstGeom>
                  </pic:spPr>
                </pic:pic>
              </a:graphicData>
            </a:graphic>
          </wp:inline>
        </w:drawing>
      </w:r>
    </w:p>
    <w:p>
      <w:pPr>
        <w:widowControl w:val="0"/>
        <w:kinsoku/>
        <w:autoSpaceDE/>
        <w:autoSpaceDN/>
        <w:adjustRightInd/>
        <w:snapToGrid/>
        <w:spacing w:line="520" w:lineRule="exact"/>
        <w:jc w:val="center"/>
        <w:textAlignment w:val="auto"/>
        <w:rPr>
          <w:rFonts w:ascii="Times New Roman" w:hAnsi="Times New Roman" w:eastAsia="仿宋_GB2312" w:cs="Times New Roman"/>
          <w:snapToGrid/>
          <w:color w:val="auto"/>
          <w:kern w:val="2"/>
        </w:rPr>
      </w:pPr>
      <w:r>
        <w:rPr>
          <w:rFonts w:ascii="Times New Roman" w:hAnsi="Times New Roman" w:eastAsia="仿宋_GB2312" w:cs="Times New Roman"/>
          <w:snapToGrid/>
          <w:color w:val="auto"/>
          <w:kern w:val="2"/>
        </w:rPr>
        <w:t xml:space="preserve">图3 物流平台示意图              </w:t>
      </w:r>
      <w:r>
        <w:rPr>
          <w:rFonts w:hint="eastAsia" w:ascii="Times New Roman" w:hAnsi="Times New Roman" w:eastAsia="仿宋_GB2312" w:cs="Times New Roman"/>
          <w:snapToGrid/>
          <w:color w:val="auto"/>
          <w:kern w:val="2"/>
        </w:rPr>
        <w:t xml:space="preserve">    </w:t>
      </w:r>
      <w:r>
        <w:rPr>
          <w:rFonts w:ascii="Times New Roman" w:hAnsi="Times New Roman" w:eastAsia="仿宋_GB2312" w:cs="Times New Roman"/>
          <w:snapToGrid/>
          <w:color w:val="auto"/>
          <w:kern w:val="2"/>
        </w:rPr>
        <w:t>图4 隧道示意图</w:t>
      </w:r>
    </w:p>
    <w:p>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ascii="Times New Roman" w:hAnsi="Times New Roman" w:eastAsia="仿宋_GB2312" w:cs="Times New Roman"/>
          <w:snapToGrid/>
          <w:color w:val="auto"/>
          <w:kern w:val="2"/>
          <w:sz w:val="28"/>
          <w:szCs w:val="28"/>
        </w:rPr>
        <w:t>运送物品摆放于物流平台上，可自带，其最大尺寸不超过20mm，以A、B、C字母作标记，材质、重量及颜色不限，以场外观察者肉眼明显能见为佳，允许做镂空处理。</w:t>
      </w:r>
    </w:p>
    <w:p>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2.隧道穿越</w:t>
      </w:r>
    </w:p>
    <w:p>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“隧道”由直径约600mm的3个圆环组成，圆环之间间隔约200mm，居中摆放于“隧道穿越”区域。环的粗细、颜色及材质均不作要求（如体育训练或健身锻炼器材），固定方式亦可多样，如图4。</w:t>
      </w:r>
    </w:p>
    <w:p>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“照明灯”可自行设计，编程控制并挂载于飞行机器人上，其材质、外形、重量不限，以场外明显能见为佳，最大长度不超过50mm，按照任务要求无人飞行器进入隧道前点亮，完全离开隧道后及时灭灯。</w:t>
      </w:r>
    </w:p>
    <w:p>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3.空中侦测</w:t>
      </w:r>
    </w:p>
    <w:p>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调式结束后，随机从字母（A、B、I、J）和数字（0-9）中各抽取1个组合成坐标点，坐标点在飞行机器人起飞后居中摆放于从空中侦测区域抽取的1个小正方形中，如图5所示。</w:t>
      </w:r>
    </w:p>
    <w:p>
      <w:pPr>
        <w:widowControl w:val="0"/>
        <w:kinsoku/>
        <w:autoSpaceDE/>
        <w:autoSpaceDN/>
        <w:adjustRightInd/>
        <w:snapToGrid/>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br w:type="page"/>
      </w:r>
    </w:p>
    <w:p>
      <w:pPr>
        <w:widowControl w:val="0"/>
        <w:kinsoku/>
        <w:autoSpaceDE/>
        <w:autoSpaceDN/>
        <w:adjustRightInd/>
        <w:snapToGrid/>
        <w:spacing w:line="360" w:lineRule="auto"/>
        <w:jc w:val="center"/>
        <w:textAlignment w:val="auto"/>
        <w:rPr>
          <w:rFonts w:ascii="等线" w:hAnsi="等线" w:eastAsia="等线" w:cs="Times New Roman"/>
          <w:snapToGrid/>
          <w:color w:val="auto"/>
          <w:kern w:val="2"/>
          <w:szCs w:val="22"/>
        </w:rPr>
      </w:pPr>
      <w:r>
        <w:rPr>
          <w:rFonts w:hint="eastAsia" w:ascii="宋体" w:hAnsi="宋体" w:eastAsia="宋体" w:cs="宋体"/>
          <w:snapToGrid/>
          <w:color w:val="auto"/>
          <w:kern w:val="2"/>
          <w:sz w:val="28"/>
          <w:szCs w:val="28"/>
        </w:rPr>
        <w:drawing>
          <wp:inline distT="0" distB="0" distL="114300" distR="114300">
            <wp:extent cx="1210310" cy="802640"/>
            <wp:effectExtent l="0" t="0" r="8890" b="0"/>
            <wp:docPr id="17" name="图片 17" descr="9b67bfc46409141fad149db31713ec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9b67bfc46409141fad149db31713ec63"/>
                    <pic:cNvPicPr>
                      <a:picLocks noChangeAspect="1"/>
                    </pic:cNvPicPr>
                  </pic:nvPicPr>
                  <pic:blipFill>
                    <a:blip r:embed="rId10"/>
                    <a:stretch>
                      <a:fillRect/>
                    </a:stretch>
                  </pic:blipFill>
                  <pic:spPr>
                    <a:xfrm>
                      <a:off x="0" y="0"/>
                      <a:ext cx="1214746" cy="805569"/>
                    </a:xfrm>
                    <a:prstGeom prst="rect">
                      <a:avLst/>
                    </a:prstGeom>
                  </pic:spPr>
                </pic:pic>
              </a:graphicData>
            </a:graphic>
          </wp:inline>
        </w:drawing>
      </w:r>
      <w:r>
        <w:rPr>
          <w:rFonts w:hint="eastAsia" w:ascii="宋体" w:hAnsi="宋体" w:eastAsia="宋体" w:cs="宋体"/>
          <w:snapToGrid/>
          <w:color w:val="auto"/>
          <w:kern w:val="2"/>
          <w:sz w:val="28"/>
          <w:szCs w:val="28"/>
        </w:rPr>
        <w:t xml:space="preserve">              </w:t>
      </w:r>
      <w:r>
        <w:rPr>
          <w:rFonts w:hint="eastAsia" w:ascii="等线" w:hAnsi="等线" w:eastAsia="等线" w:cs="Times New Roman"/>
          <w:snapToGrid/>
          <w:color w:val="auto"/>
          <w:kern w:val="2"/>
          <w:szCs w:val="22"/>
        </w:rPr>
        <w:t xml:space="preserve">    </w:t>
      </w:r>
      <w:r>
        <w:rPr>
          <w:rFonts w:hint="eastAsia" w:ascii="宋体" w:hAnsi="宋体" w:eastAsia="宋体" w:cs="宋体"/>
          <w:snapToGrid/>
          <w:color w:val="auto"/>
          <w:kern w:val="2"/>
          <w:sz w:val="28"/>
          <w:szCs w:val="28"/>
        </w:rPr>
        <w:drawing>
          <wp:inline distT="0" distB="0" distL="114300" distR="114300">
            <wp:extent cx="1200150" cy="1180465"/>
            <wp:effectExtent l="0" t="0" r="0" b="635"/>
            <wp:docPr id="9" name="图片 9" descr="0b7434cd58b9e58995baeb47a64ea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b7434cd58b9e58995baeb47a64eae95"/>
                    <pic:cNvPicPr>
                      <a:picLocks noChangeAspect="1"/>
                    </pic:cNvPicPr>
                  </pic:nvPicPr>
                  <pic:blipFill>
                    <a:blip r:embed="rId11"/>
                    <a:stretch>
                      <a:fillRect/>
                    </a:stretch>
                  </pic:blipFill>
                  <pic:spPr>
                    <a:xfrm>
                      <a:off x="0" y="0"/>
                      <a:ext cx="1212639" cy="1193390"/>
                    </a:xfrm>
                    <a:prstGeom prst="rect">
                      <a:avLst/>
                    </a:prstGeom>
                  </pic:spPr>
                </pic:pic>
              </a:graphicData>
            </a:graphic>
          </wp:inline>
        </w:drawing>
      </w:r>
    </w:p>
    <w:p>
      <w:pPr>
        <w:widowControl w:val="0"/>
        <w:kinsoku/>
        <w:autoSpaceDE/>
        <w:autoSpaceDN/>
        <w:adjustRightInd/>
        <w:snapToGrid/>
        <w:spacing w:line="520" w:lineRule="exact"/>
        <w:jc w:val="center"/>
        <w:textAlignment w:val="auto"/>
        <w:rPr>
          <w:rFonts w:ascii="Times New Roman" w:hAnsi="Times New Roman" w:eastAsia="仿宋_GB2312" w:cs="Times New Roman"/>
          <w:snapToGrid/>
          <w:color w:val="auto"/>
          <w:kern w:val="2"/>
        </w:rPr>
      </w:pPr>
      <w:r>
        <w:rPr>
          <w:rFonts w:hint="eastAsia" w:ascii="Times New Roman" w:hAnsi="Times New Roman" w:eastAsia="仿宋_GB2312" w:cs="Times New Roman"/>
          <w:snapToGrid/>
          <w:color w:val="auto"/>
          <w:kern w:val="2"/>
        </w:rPr>
        <w:t>图5 坐标点及摆放示意图              图6 高空平台示意图</w:t>
      </w:r>
    </w:p>
    <w:p>
      <w:pPr>
        <w:widowControl w:val="0"/>
        <w:kinsoku/>
        <w:autoSpaceDE/>
        <w:autoSpaceDN/>
        <w:adjustRightInd/>
        <w:snapToGrid/>
        <w:spacing w:line="520" w:lineRule="exact"/>
        <w:ind w:firstLine="562" w:firstLineChars="200"/>
        <w:jc w:val="both"/>
        <w:textAlignment w:val="auto"/>
        <w:outlineLvl w:val="2"/>
        <w:rPr>
          <w:rFonts w:ascii="Times New Roman" w:hAnsi="Times New Roman" w:eastAsia="仿宋_GB2312" w:cs="Times New Roman"/>
          <w:b/>
          <w:snapToGrid/>
          <w:color w:val="auto"/>
          <w:kern w:val="2"/>
          <w:sz w:val="28"/>
          <w:szCs w:val="28"/>
        </w:rPr>
      </w:pPr>
      <w:r>
        <w:rPr>
          <w:rFonts w:hint="eastAsia" w:ascii="Times New Roman" w:hAnsi="Times New Roman" w:eastAsia="仿宋_GB2312" w:cs="Times New Roman"/>
          <w:b/>
          <w:snapToGrid/>
          <w:color w:val="auto"/>
          <w:kern w:val="2"/>
          <w:sz w:val="28"/>
          <w:szCs w:val="28"/>
        </w:rPr>
        <w:t>4.高空救援</w:t>
      </w:r>
    </w:p>
    <w:p>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bookmarkStart w:id="2" w:name="_Hlk180170281"/>
      <w:r>
        <w:rPr>
          <w:rFonts w:hint="eastAsia" w:ascii="Times New Roman" w:hAnsi="Times New Roman" w:eastAsia="仿宋_GB2312" w:cs="Times New Roman"/>
          <w:snapToGrid/>
          <w:color w:val="auto"/>
          <w:kern w:val="2"/>
          <w:sz w:val="28"/>
          <w:szCs w:val="28"/>
        </w:rPr>
        <w:t>高空平台是横截面约20mm×20mm、长度约800mm的方形架空横杆，随机摆放于“高空救援”区域，横杆垂直投影于黑色虚线上，</w:t>
      </w:r>
      <w:bookmarkEnd w:id="2"/>
      <w:r>
        <w:rPr>
          <w:rFonts w:hint="eastAsia" w:ascii="Times New Roman" w:hAnsi="Times New Roman" w:eastAsia="仿宋_GB2312" w:cs="Times New Roman"/>
          <w:snapToGrid/>
          <w:color w:val="auto"/>
          <w:kern w:val="2"/>
          <w:sz w:val="28"/>
          <w:szCs w:val="28"/>
        </w:rPr>
        <w:t>底座中心与交叉点重合，距离地面高度约为600-900mm，以现场提供为准，如图6所示。</w:t>
      </w:r>
    </w:p>
    <w:p>
      <w:pPr>
        <w:widowControl w:val="0"/>
        <w:kinsoku/>
        <w:autoSpaceDE/>
        <w:autoSpaceDN/>
        <w:adjustRightInd/>
        <w:snapToGrid/>
        <w:spacing w:line="520" w:lineRule="exact"/>
        <w:ind w:firstLine="560" w:firstLineChars="200"/>
        <w:jc w:val="both"/>
        <w:textAlignment w:val="auto"/>
        <w:rPr>
          <w:rFonts w:ascii="Times New Roman" w:hAnsi="Times New Roman" w:eastAsia="仿宋_GB2312" w:cs="Times New Roman"/>
          <w:snapToGrid/>
          <w:color w:val="auto"/>
          <w:kern w:val="2"/>
          <w:sz w:val="28"/>
          <w:szCs w:val="28"/>
        </w:rPr>
      </w:pPr>
      <w:r>
        <w:rPr>
          <w:rFonts w:hint="eastAsia" w:ascii="Times New Roman" w:hAnsi="Times New Roman" w:eastAsia="仿宋_GB2312" w:cs="Times New Roman"/>
          <w:snapToGrid/>
          <w:color w:val="auto"/>
          <w:kern w:val="2"/>
          <w:sz w:val="28"/>
          <w:szCs w:val="28"/>
        </w:rPr>
        <w:t>“人形救援对象”可自行设计并摆放于高空平台，其材质、重量、颜色不限，以场外明显能见为佳，在任何方向上得最大尺寸长度不超过30mm。</w:t>
      </w:r>
    </w:p>
    <w:p>
      <w:pPr>
        <w:widowControl w:val="0"/>
        <w:kinsoku/>
        <w:autoSpaceDE/>
        <w:autoSpaceDN/>
        <w:adjustRightInd/>
        <w:snapToGrid/>
        <w:spacing w:line="520" w:lineRule="exact"/>
        <w:ind w:firstLine="420" w:firstLineChars="200"/>
        <w:jc w:val="both"/>
        <w:textAlignment w:val="auto"/>
        <w:rPr>
          <w:rFonts w:ascii="Times New Roman" w:hAnsi="Times New Roman" w:eastAsia="仿宋_GB2312" w:cs="Times New Roman"/>
          <w:sz w:val="32"/>
          <w:szCs w:val="32"/>
        </w:rPr>
      </w:pPr>
      <w:r>
        <w:rPr>
          <w:snapToGrid/>
        </w:rPr>
        <w:drawing>
          <wp:anchor distT="0" distB="0" distL="114300" distR="114300" simplePos="0" relativeHeight="251661312" behindDoc="0" locked="0" layoutInCell="1" allowOverlap="1">
            <wp:simplePos x="0" y="0"/>
            <wp:positionH relativeFrom="margin">
              <wp:posOffset>234315</wp:posOffset>
            </wp:positionH>
            <wp:positionV relativeFrom="paragraph">
              <wp:posOffset>412750</wp:posOffset>
            </wp:positionV>
            <wp:extent cx="5016500" cy="280035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16500" cy="2800350"/>
                    </a:xfrm>
                    <a:prstGeom prst="rect">
                      <a:avLst/>
                    </a:prstGeom>
                  </pic:spPr>
                </pic:pic>
              </a:graphicData>
            </a:graphic>
          </wp:anchor>
        </w:drawing>
      </w:r>
      <w:r>
        <w:rPr>
          <w:rFonts w:hint="eastAsia" w:ascii="Times New Roman" w:hAnsi="Times New Roman" w:eastAsia="仿宋_GB2312" w:cs="Times New Roman"/>
          <w:b/>
          <w:bCs/>
          <w:snapToGrid/>
          <w:color w:val="auto"/>
          <w:kern w:val="2"/>
          <w:sz w:val="28"/>
          <w:szCs w:val="28"/>
        </w:rPr>
        <w:t>5、挑战任务命令方块</w:t>
      </w:r>
    </w:p>
    <w:p>
      <w:pPr>
        <w:spacing w:line="560" w:lineRule="exact"/>
        <w:ind w:firstLine="480" w:firstLineChars="200"/>
        <w:jc w:val="both"/>
        <w:rPr>
          <w:rFonts w:ascii="Times New Roman" w:hAnsi="Times New Roman" w:eastAsia="黑体" w:cs="Times New Roman"/>
          <w:color w:val="auto"/>
          <w:sz w:val="32"/>
          <w:szCs w:val="32"/>
        </w:rPr>
      </w:pPr>
      <w:r>
        <w:rPr>
          <w:rFonts w:hint="eastAsia" w:ascii="Times New Roman" w:hAnsi="Times New Roman" w:eastAsia="仿宋_GB2312" w:cs="Times New Roman"/>
          <w:sz w:val="24"/>
          <w:szCs w:val="24"/>
        </w:rPr>
        <w:t>（挑战任务道具及文字命令</w:t>
      </w:r>
      <w:r>
        <w:rPr>
          <w:rFonts w:hint="eastAsia" w:ascii="Times New Roman" w:hAnsi="Times New Roman" w:eastAsia="仿宋_GB2312" w:cs="Times New Roman"/>
          <w:sz w:val="24"/>
          <w:szCs w:val="24"/>
          <w:u w:val="single"/>
        </w:rPr>
        <w:t>示意图</w:t>
      </w:r>
      <w:r>
        <w:rPr>
          <w:rFonts w:hint="eastAsia" w:ascii="Times New Roman" w:hAnsi="Times New Roman" w:eastAsia="仿宋_GB2312" w:cs="Times New Roman"/>
          <w:sz w:val="24"/>
          <w:szCs w:val="24"/>
        </w:rPr>
        <w:t>，命令方块尺寸约为400mm*400mm，字体为标准黑体，尺寸</w:t>
      </w:r>
      <w:r>
        <w:rPr>
          <w:rFonts w:hint="eastAsia" w:ascii="微软雅黑" w:hAnsi="微软雅黑" w:eastAsia="微软雅黑" w:cs="Times New Roman"/>
          <w:sz w:val="24"/>
          <w:szCs w:val="24"/>
        </w:rPr>
        <w:t>≥</w:t>
      </w:r>
      <w:r>
        <w:rPr>
          <w:rFonts w:hint="eastAsia" w:ascii="Times New Roman" w:hAnsi="Times New Roman" w:eastAsia="仿宋_GB2312" w:cs="Times New Roman"/>
          <w:sz w:val="24"/>
          <w:szCs w:val="24"/>
        </w:rPr>
        <w:t>标准初号字。）</w:t>
      </w:r>
    </w:p>
    <w:p>
      <w:pPr>
        <w:spacing w:line="560" w:lineRule="exact"/>
        <w:ind w:firstLine="640" w:firstLineChars="200"/>
        <w:jc w:val="both"/>
        <w:outlineLvl w:val="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三、任务描述</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整个任务由基本任务和挑战任务两部分组成。飞行机器人的飞行动作必须由程序控制自主完成，在执行任务过程中如果动用遥控设备来操作则视为任务失败。基本任务完成后参赛选手须举手示意裁判员，挑战任务</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顺序</w:t>
      </w:r>
      <w:r>
        <w:rPr>
          <w:rFonts w:hint="eastAsia" w:ascii="Times New Roman" w:hAnsi="Times New Roman" w:eastAsia="仿宋_GB2312" w:cs="Times New Roman"/>
          <w:sz w:val="32"/>
          <w:szCs w:val="32"/>
        </w:rPr>
        <w:t>完成</w:t>
      </w:r>
      <w:r>
        <w:rPr>
          <w:rFonts w:ascii="Times New Roman" w:hAnsi="Times New Roman" w:eastAsia="仿宋_GB2312" w:cs="Times New Roman"/>
          <w:sz w:val="32"/>
          <w:szCs w:val="32"/>
        </w:rPr>
        <w:t>。</w:t>
      </w:r>
    </w:p>
    <w:p>
      <w:pPr>
        <w:spacing w:line="560" w:lineRule="exact"/>
        <w:ind w:firstLine="643" w:firstLineChars="200"/>
        <w:jc w:val="both"/>
        <w:rPr>
          <w:rFonts w:ascii="Times New Roman" w:hAnsi="Times New Roman" w:eastAsia="黑体" w:cs="Times New Roman"/>
          <w:b/>
          <w:bCs/>
          <w:sz w:val="32"/>
          <w:szCs w:val="32"/>
        </w:rPr>
      </w:pPr>
      <w:bookmarkStart w:id="3" w:name="_Hlk183124676"/>
      <w:r>
        <w:rPr>
          <w:rFonts w:ascii="Times New Roman" w:hAnsi="Times New Roman" w:eastAsia="黑体" w:cs="Times New Roman"/>
          <w:b/>
          <w:bCs/>
          <w:sz w:val="32"/>
          <w:szCs w:val="32"/>
        </w:rPr>
        <w:t>小学组</w:t>
      </w:r>
    </w:p>
    <w:p>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1.基本任务</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起飞：</w:t>
      </w:r>
      <w:r>
        <w:rPr>
          <w:rFonts w:ascii="Times New Roman" w:hAnsi="Times New Roman" w:eastAsia="仿宋_GB2312" w:cs="Times New Roman"/>
          <w:sz w:val="32"/>
          <w:szCs w:val="32"/>
        </w:rPr>
        <w:t>无人飞行器从起飞区起飞，起飞后离地高度500mm以上，悬停</w:t>
      </w:r>
      <w:r>
        <w:rPr>
          <w:rFonts w:hint="eastAsia" w:ascii="Times New Roman" w:hAnsi="Times New Roman" w:eastAsia="仿宋_GB2312" w:cs="Times New Roman"/>
          <w:sz w:val="32"/>
          <w:szCs w:val="32"/>
        </w:rPr>
        <w:t>时间大于3</w:t>
      </w:r>
      <w:r>
        <w:rPr>
          <w:rFonts w:ascii="Times New Roman" w:hAnsi="Times New Roman" w:eastAsia="仿宋_GB2312" w:cs="Times New Roman"/>
          <w:sz w:val="32"/>
          <w:szCs w:val="32"/>
        </w:rPr>
        <w:t>秒。完成得5分，仅计一次得分，不重复计分。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物流运输：</w:t>
      </w:r>
      <w:r>
        <w:rPr>
          <w:rFonts w:hint="eastAsia" w:ascii="Times New Roman" w:hAnsi="Times New Roman" w:eastAsia="仿宋_GB2312" w:cs="Times New Roman"/>
          <w:sz w:val="32"/>
          <w:szCs w:val="32"/>
        </w:rPr>
        <w:t>通过自动挂载（挂载装置必须接触运送物品才有效）将</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区域物流平台上摆放的物品</w:t>
      </w: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B</w:t>
      </w:r>
      <w:r>
        <w:rPr>
          <w:rFonts w:hint="eastAsia" w:ascii="Times New Roman" w:hAnsi="Times New Roman" w:eastAsia="仿宋_GB2312" w:cs="Times New Roman"/>
          <w:sz w:val="32"/>
          <w:szCs w:val="32"/>
        </w:rPr>
        <w:t>运送至空中侦测识别出来的坐标点区域。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成功完成得20分。</w:t>
      </w:r>
    </w:p>
    <w:p>
      <w:pPr>
        <w:spacing w:line="560" w:lineRule="exact"/>
        <w:ind w:firstLine="643"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隧道穿越</w:t>
      </w:r>
      <w:r>
        <w:rPr>
          <w:rFonts w:ascii="Times New Roman" w:hAnsi="Times New Roman" w:eastAsia="仿宋_GB2312" w:cs="Times New Roman"/>
          <w:b/>
          <w:bCs/>
          <w:sz w:val="32"/>
          <w:szCs w:val="32"/>
        </w:rPr>
        <w:t>：</w:t>
      </w:r>
      <w:r>
        <w:rPr>
          <w:rFonts w:hint="eastAsia" w:ascii="Times New Roman" w:hAnsi="Times New Roman" w:eastAsia="仿宋_GB2312" w:cs="Times New Roman"/>
          <w:sz w:val="32"/>
          <w:szCs w:val="32"/>
        </w:rPr>
        <w:t>单次单方向穿越隧道环（自行选择穿越方向，必须在任务开始前向裁判汇报预设穿越方向），进入时打开“照明灯”，出隧道后及时关闭“照明灯”。灯光颜色不限。</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成功完成得10分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空中侦测：</w:t>
      </w:r>
      <w:r>
        <w:rPr>
          <w:rFonts w:hint="eastAsia" w:ascii="Times New Roman" w:hAnsi="Times New Roman" w:eastAsia="仿宋_GB2312" w:cs="Times New Roman"/>
          <w:sz w:val="32"/>
          <w:szCs w:val="32"/>
        </w:rPr>
        <w:t>飞越至</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区域，对小正方形内的坐标点进行识别，并立即在电脑或平板端的虚拟地图上向裁判展示飞行器当前实时位置以及识别结果。</w:t>
      </w:r>
      <w:r>
        <w:rPr>
          <w:rFonts w:ascii="Times New Roman" w:hAnsi="Times New Roman" w:eastAsia="仿宋_GB2312" w:cs="Times New Roman"/>
          <w:sz w:val="32"/>
          <w:szCs w:val="32"/>
        </w:rPr>
        <w:t xml:space="preserve"> </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识别结果准确得10分</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飞行器位置准确得5分</w:t>
      </w:r>
    </w:p>
    <w:p>
      <w:pPr>
        <w:spacing w:line="560" w:lineRule="exact"/>
        <w:ind w:firstLine="643" w:firstLineChars="200"/>
        <w:jc w:val="both"/>
        <w:rPr>
          <w:rFonts w:ascii="Times New Roman" w:hAnsi="Times New Roman" w:eastAsia="仿宋_GB2312" w:cs="Times New Roman"/>
          <w:sz w:val="32"/>
          <w:szCs w:val="32"/>
        </w:rPr>
      </w:pPr>
      <w:bookmarkStart w:id="4" w:name="_Hlk184648807"/>
      <w:r>
        <w:rPr>
          <w:rFonts w:ascii="Times New Roman" w:hAnsi="Times New Roman" w:eastAsia="仿宋_GB2312" w:cs="Times New Roman"/>
          <w:b/>
          <w:bCs/>
          <w:sz w:val="32"/>
          <w:szCs w:val="32"/>
        </w:rPr>
        <w:t>高空</w:t>
      </w:r>
      <w:r>
        <w:rPr>
          <w:rFonts w:hint="eastAsia" w:ascii="Times New Roman" w:hAnsi="Times New Roman" w:eastAsia="仿宋_GB2312" w:cs="Times New Roman"/>
          <w:b/>
          <w:bCs/>
          <w:sz w:val="32"/>
          <w:szCs w:val="32"/>
        </w:rPr>
        <w:t>救援</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利用无人机的飞行能力</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载的探测设备和任务结构件，对高空清障区域内的“</w:t>
      </w:r>
      <w:r>
        <w:rPr>
          <w:rFonts w:hint="eastAsia" w:ascii="Times New Roman" w:hAnsi="Times New Roman" w:eastAsia="仿宋_GB2312" w:cs="Times New Roman"/>
          <w:sz w:val="32"/>
          <w:szCs w:val="32"/>
        </w:rPr>
        <w:t>受困人员</w:t>
      </w:r>
      <w:r>
        <w:rPr>
          <w:rFonts w:ascii="Times New Roman" w:hAnsi="Times New Roman" w:eastAsia="仿宋_GB2312" w:cs="Times New Roman"/>
          <w:sz w:val="32"/>
          <w:szCs w:val="32"/>
        </w:rPr>
        <w:t>”进行搜索和定位。</w:t>
      </w:r>
      <w:r>
        <w:rPr>
          <w:rFonts w:hint="eastAsia" w:ascii="Times New Roman" w:hAnsi="Times New Roman" w:eastAsia="仿宋_GB2312" w:cs="Times New Roman"/>
          <w:sz w:val="32"/>
          <w:szCs w:val="32"/>
        </w:rPr>
        <w:t>并将1名位于高空平台的“受困人员”运送至比赛调式前随机抽取的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个备降区域，在无人机完全降落前运送对象与无人机分离视为该任务未完成。“受困人员”的摆放位置由选手自行决定。</w:t>
      </w:r>
    </w:p>
    <w:p>
      <w:pPr>
        <w:spacing w:line="560" w:lineRule="exact"/>
        <w:ind w:firstLine="640" w:firstLineChars="200"/>
        <w:jc w:val="both"/>
        <w:rPr>
          <w:rFonts w:ascii="Times New Roman" w:hAnsi="Times New Roman" w:eastAsia="仿宋_GB2312" w:cs="Times New Roman"/>
          <w:sz w:val="24"/>
          <w:szCs w:val="24"/>
        </w:rPr>
      </w:pPr>
      <w:r>
        <w:rPr>
          <w:rFonts w:hint="eastAsia" w:ascii="Times New Roman" w:hAnsi="Times New Roman" w:eastAsia="仿宋_GB2312" w:cs="Times New Roman"/>
          <w:sz w:val="32"/>
          <w:szCs w:val="32"/>
        </w:rPr>
        <w:drawing>
          <wp:anchor distT="0" distB="0" distL="114300" distR="114300" simplePos="0" relativeHeight="251659264" behindDoc="0" locked="0" layoutInCell="1" allowOverlap="1">
            <wp:simplePos x="0" y="0"/>
            <wp:positionH relativeFrom="margin">
              <wp:align>center</wp:align>
            </wp:positionH>
            <wp:positionV relativeFrom="paragraph">
              <wp:posOffset>721995</wp:posOffset>
            </wp:positionV>
            <wp:extent cx="5607050" cy="5607050"/>
            <wp:effectExtent l="0" t="0" r="0"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07050" cy="5607050"/>
                    </a:xfrm>
                    <a:prstGeom prst="rect">
                      <a:avLst/>
                    </a:prstGeom>
                    <a:noFill/>
                    <a:ln>
                      <a:noFill/>
                    </a:ln>
                  </pic:spPr>
                </pic:pic>
              </a:graphicData>
            </a:graphic>
          </wp:anchor>
        </w:drawing>
      </w:r>
      <w:r>
        <w:rPr>
          <w:rFonts w:hint="eastAsia" w:ascii="Times New Roman" w:hAnsi="Times New Roman" w:eastAsia="仿宋_GB2312" w:cs="Times New Roman"/>
          <w:sz w:val="32"/>
          <w:szCs w:val="32"/>
        </w:rPr>
        <w:t xml:space="preserve">清障平台的摆放位置在调试开始前抽签决定。可能的摆放位置如下图所示。               </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成功完成得20分。</w:t>
      </w:r>
    </w:p>
    <w:bookmarkEnd w:id="4"/>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返航：</w:t>
      </w:r>
      <w:r>
        <w:rPr>
          <w:rFonts w:ascii="Times New Roman" w:hAnsi="Times New Roman" w:eastAsia="仿宋_GB2312" w:cs="Times New Roman"/>
          <w:sz w:val="32"/>
          <w:szCs w:val="32"/>
        </w:rPr>
        <w:t>完成</w:t>
      </w:r>
      <w:r>
        <w:rPr>
          <w:rFonts w:hint="eastAsia" w:ascii="Times New Roman" w:hAnsi="Times New Roman" w:eastAsia="仿宋_GB2312" w:cs="Times New Roman"/>
          <w:sz w:val="32"/>
          <w:szCs w:val="32"/>
        </w:rPr>
        <w:t>常规任务</w:t>
      </w:r>
      <w:r>
        <w:rPr>
          <w:rFonts w:ascii="Times New Roman" w:hAnsi="Times New Roman" w:eastAsia="仿宋_GB2312" w:cs="Times New Roman"/>
          <w:sz w:val="32"/>
          <w:szCs w:val="32"/>
        </w:rPr>
        <w:t>后无人机</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返回基地区</w:t>
      </w:r>
      <w:r>
        <w:rPr>
          <w:rFonts w:hint="eastAsia" w:ascii="Times New Roman" w:hAnsi="Times New Roman" w:eastAsia="仿宋_GB2312" w:cs="Times New Roman"/>
          <w:sz w:val="32"/>
          <w:szCs w:val="32"/>
        </w:rPr>
        <w:t>。无人机垂直投影完全在基地内视为返航成功。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返航成功得10分。</w:t>
      </w:r>
    </w:p>
    <w:p>
      <w:pPr>
        <w:spacing w:line="560" w:lineRule="exact"/>
        <w:ind w:firstLine="643" w:firstLineChars="200"/>
        <w:jc w:val="both"/>
        <w:rPr>
          <w:rFonts w:ascii="Times New Roman" w:hAnsi="Times New Roman" w:eastAsia="黑体" w:cs="Times New Roman"/>
          <w:b/>
          <w:bCs/>
          <w:sz w:val="32"/>
          <w:szCs w:val="32"/>
        </w:rPr>
      </w:pPr>
      <w:r>
        <w:rPr>
          <w:rFonts w:ascii="Times New Roman" w:hAnsi="Times New Roman" w:eastAsia="黑体" w:cs="Times New Roman"/>
          <w:b/>
          <w:bCs/>
          <w:sz w:val="32"/>
          <w:szCs w:val="32"/>
        </w:rPr>
        <w:t xml:space="preserve">2.挑战任务 </w:t>
      </w:r>
    </w:p>
    <w:bookmarkEnd w:id="3"/>
    <w:p>
      <w:pPr>
        <w:spacing w:line="560" w:lineRule="exact"/>
        <w:ind w:firstLine="64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挑战任务分为两个连续阶段，必须按顺序完成。命令方块在常规任务开始前由每组选手自行抽取本队任务，并摆放在基地区内。二维码等定位设备不允许放置在命令方块上。</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无人飞行器必须按照命令方块所示命令完成相应任务。</w:t>
      </w:r>
    </w:p>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成功完成第一阶段得10分。</w:t>
      </w:r>
    </w:p>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两个阶段连续并成功完成得30分。</w:t>
      </w:r>
    </w:p>
    <w:p>
      <w:pPr>
        <w:spacing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如在比赛过程中需要更换无人飞行器电池或进行维修，必须在</w:t>
      </w:r>
      <w:r>
        <w:rPr>
          <w:rFonts w:hint="eastAsia" w:ascii="Times New Roman" w:hAnsi="Times New Roman" w:eastAsia="仿宋_GB2312" w:cs="Times New Roman"/>
          <w:sz w:val="32"/>
          <w:szCs w:val="32"/>
        </w:rPr>
        <w:t>备降区或基地</w:t>
      </w:r>
      <w:r>
        <w:rPr>
          <w:rFonts w:ascii="Times New Roman" w:hAnsi="Times New Roman" w:eastAsia="仿宋_GB2312" w:cs="Times New Roman"/>
          <w:sz w:val="32"/>
          <w:szCs w:val="32"/>
        </w:rPr>
        <w:t>进行，且更换或维修结束后必须从</w:t>
      </w:r>
      <w:r>
        <w:rPr>
          <w:rFonts w:hint="eastAsia" w:ascii="Times New Roman" w:hAnsi="Times New Roman" w:eastAsia="仿宋_GB2312" w:cs="Times New Roman"/>
          <w:sz w:val="32"/>
          <w:szCs w:val="32"/>
        </w:rPr>
        <w:t>原地</w:t>
      </w:r>
      <w:r>
        <w:rPr>
          <w:rFonts w:ascii="Times New Roman" w:hAnsi="Times New Roman" w:eastAsia="仿宋_GB2312" w:cs="Times New Roman"/>
          <w:sz w:val="32"/>
          <w:szCs w:val="32"/>
        </w:rPr>
        <w:t>起飞执行后续任务。</w:t>
      </w:r>
    </w:p>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仿宋_GB2312" w:cs="Times New Roman"/>
          <w:sz w:val="32"/>
          <w:szCs w:val="32"/>
        </w:rPr>
        <w:t>凡是降落时垂直投影完全未在基地和备降区内的，均视为坠机，每坠机一次扣</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分，坠机次数超过</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次视为本轮比赛结束。坠机后必须手动将飞行器移至基地重新起飞。</w:t>
      </w:r>
    </w:p>
    <w:p>
      <w:pPr>
        <w:spacing w:line="560" w:lineRule="exact"/>
        <w:ind w:firstLine="643" w:firstLineChars="200"/>
        <w:jc w:val="both"/>
        <w:rPr>
          <w:rFonts w:ascii="Times New Roman" w:hAnsi="Times New Roman" w:eastAsia="黑体" w:cs="Times New Roman"/>
          <w:b/>
          <w:bCs/>
          <w:sz w:val="32"/>
          <w:szCs w:val="32"/>
        </w:rPr>
      </w:pPr>
      <w:r>
        <w:rPr>
          <w:rFonts w:ascii="Times New Roman" w:hAnsi="Times New Roman" w:eastAsia="黑体" w:cs="Times New Roman"/>
          <w:b/>
          <w:bCs/>
          <w:sz w:val="32"/>
          <w:szCs w:val="32"/>
        </w:rPr>
        <w:t>初中组</w:t>
      </w:r>
    </w:p>
    <w:p>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1.基本任务</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起飞：</w:t>
      </w:r>
      <w:r>
        <w:rPr>
          <w:rFonts w:ascii="Times New Roman" w:hAnsi="Times New Roman" w:eastAsia="仿宋_GB2312" w:cs="Times New Roman"/>
          <w:sz w:val="32"/>
          <w:szCs w:val="32"/>
        </w:rPr>
        <w:t>无人飞行器从起飞区起飞，起飞后离地高度500mm以上，悬停</w:t>
      </w:r>
      <w:r>
        <w:rPr>
          <w:rFonts w:hint="eastAsia" w:ascii="Times New Roman" w:hAnsi="Times New Roman" w:eastAsia="仿宋_GB2312" w:cs="Times New Roman"/>
          <w:sz w:val="32"/>
          <w:szCs w:val="32"/>
        </w:rPr>
        <w:t>时间大于3</w:t>
      </w:r>
      <w:r>
        <w:rPr>
          <w:rFonts w:ascii="Times New Roman" w:hAnsi="Times New Roman" w:eastAsia="仿宋_GB2312" w:cs="Times New Roman"/>
          <w:sz w:val="32"/>
          <w:szCs w:val="32"/>
        </w:rPr>
        <w:t>秒。完成得5分，仅计一次得分，不重复计分。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物流运输：</w:t>
      </w:r>
      <w:r>
        <w:rPr>
          <w:rFonts w:hint="eastAsia" w:ascii="Times New Roman" w:hAnsi="Times New Roman" w:eastAsia="仿宋_GB2312" w:cs="Times New Roman"/>
          <w:sz w:val="32"/>
          <w:szCs w:val="32"/>
        </w:rPr>
        <w:t>通过自动挂载（挂载装置必须接触运送物品才有效）将</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区域物流平台上摆放的物品</w:t>
      </w: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B</w:t>
      </w:r>
      <w:r>
        <w:rPr>
          <w:rFonts w:hint="eastAsia" w:ascii="Times New Roman" w:hAnsi="Times New Roman" w:eastAsia="仿宋_GB2312" w:cs="Times New Roman"/>
          <w:sz w:val="32"/>
          <w:szCs w:val="32"/>
        </w:rPr>
        <w:t>运送至空中侦测识别出来的坐标点区域。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成功完成得20分。</w:t>
      </w:r>
    </w:p>
    <w:p>
      <w:pPr>
        <w:spacing w:line="560" w:lineRule="exact"/>
        <w:ind w:firstLine="643"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隧道穿越</w:t>
      </w:r>
      <w:r>
        <w:rPr>
          <w:rFonts w:ascii="Times New Roman" w:hAnsi="Times New Roman" w:eastAsia="仿宋_GB2312" w:cs="Times New Roman"/>
          <w:b/>
          <w:bCs/>
          <w:sz w:val="32"/>
          <w:szCs w:val="32"/>
        </w:rPr>
        <w:t>：</w:t>
      </w:r>
      <w:r>
        <w:rPr>
          <w:rFonts w:hint="eastAsia" w:ascii="Times New Roman" w:hAnsi="Times New Roman" w:eastAsia="仿宋_GB2312" w:cs="Times New Roman"/>
          <w:sz w:val="32"/>
          <w:szCs w:val="32"/>
        </w:rPr>
        <w:t>两次异向穿越隧道环，进入时打开“照明灯”，出隧道后及时关闭“照明灯”。灯光颜色不限。</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成功完成得10分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空中侦测：</w:t>
      </w:r>
      <w:r>
        <w:rPr>
          <w:rFonts w:hint="eastAsia" w:ascii="Times New Roman" w:hAnsi="Times New Roman" w:eastAsia="仿宋_GB2312" w:cs="Times New Roman"/>
          <w:sz w:val="32"/>
          <w:szCs w:val="32"/>
        </w:rPr>
        <w:t>飞越至</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区域，对小正方形内的坐标点进行识别，并立即在电脑或平板端的虚拟地图上向裁判展示飞行器当前实时位置以及识别结果。</w:t>
      </w:r>
      <w:r>
        <w:rPr>
          <w:rFonts w:ascii="Times New Roman" w:hAnsi="Times New Roman" w:eastAsia="仿宋_GB2312" w:cs="Times New Roman"/>
          <w:sz w:val="32"/>
          <w:szCs w:val="32"/>
        </w:rPr>
        <w:t xml:space="preserve"> </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识别结果准确得10分</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飞行器位置准确得5分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高空</w:t>
      </w:r>
      <w:r>
        <w:rPr>
          <w:rFonts w:hint="eastAsia" w:ascii="Times New Roman" w:hAnsi="Times New Roman" w:eastAsia="仿宋_GB2312" w:cs="Times New Roman"/>
          <w:b/>
          <w:bCs/>
          <w:sz w:val="32"/>
          <w:szCs w:val="32"/>
        </w:rPr>
        <w:t>救援</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利用无人机的飞行能力</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搭载的探测设备和任务结构件，对高空清障区域内的“</w:t>
      </w:r>
      <w:r>
        <w:rPr>
          <w:rFonts w:hint="eastAsia" w:ascii="Times New Roman" w:hAnsi="Times New Roman" w:eastAsia="仿宋_GB2312" w:cs="Times New Roman"/>
          <w:sz w:val="32"/>
          <w:szCs w:val="32"/>
        </w:rPr>
        <w:t>受困人员</w:t>
      </w:r>
      <w:r>
        <w:rPr>
          <w:rFonts w:ascii="Times New Roman" w:hAnsi="Times New Roman" w:eastAsia="仿宋_GB2312" w:cs="Times New Roman"/>
          <w:sz w:val="32"/>
          <w:szCs w:val="32"/>
        </w:rPr>
        <w:t>”进行搜索和定位。</w:t>
      </w:r>
      <w:r>
        <w:rPr>
          <w:rFonts w:hint="eastAsia" w:ascii="Times New Roman" w:hAnsi="Times New Roman" w:eastAsia="仿宋_GB2312" w:cs="Times New Roman"/>
          <w:sz w:val="32"/>
          <w:szCs w:val="32"/>
        </w:rPr>
        <w:t>并将2名位于高空平台的“受困人员”运送至比赛调式前随机抽取的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个备降区域，在无人机完全降落前运送对象与无人机分离视为该任务未完成。“受困人员”的摆放位置由选手自行决定，间隔不少于200mm。</w:t>
      </w:r>
    </w:p>
    <w:p>
      <w:pPr>
        <w:spacing w:line="560" w:lineRule="exact"/>
        <w:ind w:firstLine="640" w:firstLineChars="200"/>
        <w:jc w:val="both"/>
        <w:rPr>
          <w:rFonts w:ascii="Times New Roman" w:hAnsi="Times New Roman" w:eastAsia="仿宋_GB2312" w:cs="Times New Roman"/>
          <w:sz w:val="24"/>
          <w:szCs w:val="24"/>
        </w:rPr>
      </w:pPr>
      <w:r>
        <w:rPr>
          <w:rFonts w:hint="eastAsia" w:ascii="Times New Roman" w:hAnsi="Times New Roman" w:eastAsia="仿宋_GB2312" w:cs="Times New Roman"/>
          <w:sz w:val="32"/>
          <w:szCs w:val="32"/>
        </w:rPr>
        <w:t xml:space="preserve">清障平台的摆放位置在调试开始前抽签决定。可能的摆放位置参考小学组示意图。              </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成功营救一名人员得10分。</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成功营救两名人员得30分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返航：</w:t>
      </w:r>
      <w:r>
        <w:rPr>
          <w:rFonts w:ascii="Times New Roman" w:hAnsi="Times New Roman" w:eastAsia="仿宋_GB2312" w:cs="Times New Roman"/>
          <w:sz w:val="32"/>
          <w:szCs w:val="32"/>
        </w:rPr>
        <w:t>完成</w:t>
      </w:r>
      <w:r>
        <w:rPr>
          <w:rFonts w:hint="eastAsia" w:ascii="Times New Roman" w:hAnsi="Times New Roman" w:eastAsia="仿宋_GB2312" w:cs="Times New Roman"/>
          <w:sz w:val="32"/>
          <w:szCs w:val="32"/>
        </w:rPr>
        <w:t>常规任务</w:t>
      </w:r>
      <w:r>
        <w:rPr>
          <w:rFonts w:ascii="Times New Roman" w:hAnsi="Times New Roman" w:eastAsia="仿宋_GB2312" w:cs="Times New Roman"/>
          <w:sz w:val="32"/>
          <w:szCs w:val="32"/>
        </w:rPr>
        <w:t>后无人机</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返回基地区</w:t>
      </w:r>
      <w:r>
        <w:rPr>
          <w:rFonts w:hint="eastAsia" w:ascii="Times New Roman" w:hAnsi="Times New Roman" w:eastAsia="仿宋_GB2312" w:cs="Times New Roman"/>
          <w:sz w:val="32"/>
          <w:szCs w:val="32"/>
        </w:rPr>
        <w:t>。无人机垂直投影完全在基地内视为返航成功。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返航成功得10分。</w:t>
      </w:r>
    </w:p>
    <w:p>
      <w:pPr>
        <w:spacing w:line="560" w:lineRule="exact"/>
        <w:ind w:firstLine="640" w:firstLineChars="200"/>
        <w:jc w:val="both"/>
        <w:rPr>
          <w:rFonts w:ascii="Times New Roman" w:hAnsi="Times New Roman" w:eastAsia="黑体" w:cs="Times New Roman"/>
          <w:b/>
          <w:bCs/>
          <w:sz w:val="32"/>
          <w:szCs w:val="32"/>
        </w:rPr>
      </w:pPr>
      <w:r>
        <w:rPr>
          <w:rFonts w:ascii="Times New Roman" w:hAnsi="Times New Roman" w:eastAsia="黑体" w:cs="Times New Roman"/>
          <w:sz w:val="32"/>
          <w:szCs w:val="32"/>
        </w:rPr>
        <w:t xml:space="preserve">2.挑战任务 </w:t>
      </w:r>
    </w:p>
    <w:p>
      <w:pPr>
        <w:spacing w:line="560" w:lineRule="exact"/>
        <w:ind w:firstLine="640" w:firstLineChars="200"/>
        <w:jc w:val="both"/>
        <w:rPr>
          <w:rFonts w:ascii="Times New Roman" w:hAnsi="Times New Roman" w:eastAsia="仿宋_GB2312" w:cs="Times New Roman"/>
          <w:sz w:val="32"/>
          <w:szCs w:val="32"/>
        </w:rPr>
      </w:pPr>
      <w:bookmarkStart w:id="5" w:name="_Hlk215132681"/>
      <w:r>
        <w:rPr>
          <w:rFonts w:hint="eastAsia" w:ascii="Times New Roman" w:hAnsi="Times New Roman" w:eastAsia="仿宋_GB2312" w:cs="Times New Roman"/>
          <w:sz w:val="32"/>
          <w:szCs w:val="32"/>
        </w:rPr>
        <w:t>挑战任务分为两个连续阶段，必须按顺序完成。命令方块有两个，均在常规任务开始前由每组选手自行抽取本队任务，第一块命令方块摆放在基地区内。二维码等定位设备不允许放置在命令方块上。第二块命令方块摆放在第一块命令方块指向的任务区域中央位置。</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无人飞行器必须按照命令方块所示命令完成相应任务。</w:t>
      </w:r>
    </w:p>
    <w:bookmarkEnd w:id="5"/>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成功完成第一阶段得10分。</w:t>
      </w:r>
    </w:p>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两个阶段连续并成功完成得30分。</w:t>
      </w:r>
    </w:p>
    <w:p>
      <w:pPr>
        <w:spacing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如在比赛过程中需要更换无人飞行器电池或进行维修，必须在</w:t>
      </w:r>
      <w:r>
        <w:rPr>
          <w:rFonts w:hint="eastAsia" w:ascii="Times New Roman" w:hAnsi="Times New Roman" w:eastAsia="仿宋_GB2312" w:cs="Times New Roman"/>
          <w:sz w:val="32"/>
          <w:szCs w:val="32"/>
        </w:rPr>
        <w:t>备降区或基地</w:t>
      </w:r>
      <w:r>
        <w:rPr>
          <w:rFonts w:ascii="Times New Roman" w:hAnsi="Times New Roman" w:eastAsia="仿宋_GB2312" w:cs="Times New Roman"/>
          <w:sz w:val="32"/>
          <w:szCs w:val="32"/>
        </w:rPr>
        <w:t>进行，且更换或维修结束后必须从</w:t>
      </w:r>
      <w:r>
        <w:rPr>
          <w:rFonts w:hint="eastAsia" w:ascii="Times New Roman" w:hAnsi="Times New Roman" w:eastAsia="仿宋_GB2312" w:cs="Times New Roman"/>
          <w:sz w:val="32"/>
          <w:szCs w:val="32"/>
        </w:rPr>
        <w:t>原地</w:t>
      </w:r>
      <w:r>
        <w:rPr>
          <w:rFonts w:ascii="Times New Roman" w:hAnsi="Times New Roman" w:eastAsia="仿宋_GB2312" w:cs="Times New Roman"/>
          <w:sz w:val="32"/>
          <w:szCs w:val="32"/>
        </w:rPr>
        <w:t>起飞执行后续任务。</w:t>
      </w:r>
    </w:p>
    <w:p>
      <w:pPr>
        <w:spacing w:line="560" w:lineRule="exact"/>
        <w:ind w:firstLine="640" w:firstLineChars="200"/>
        <w:jc w:val="both"/>
        <w:rPr>
          <w:rFonts w:ascii="Times New Roman" w:hAnsi="Times New Roman" w:eastAsia="仿宋_GB2312" w:cs="Times New Roman"/>
          <w:sz w:val="32"/>
          <w:szCs w:val="32"/>
        </w:rPr>
      </w:pPr>
      <w:bookmarkStart w:id="6" w:name="_Hlk215134999"/>
      <w:r>
        <w:rPr>
          <w:rFonts w:ascii="Times New Roman" w:hAnsi="Times New Roman" w:eastAsia="仿宋_GB2312" w:cs="Times New Roman"/>
          <w:sz w:val="32"/>
          <w:szCs w:val="32"/>
        </w:rPr>
        <w:t>凡是</w:t>
      </w:r>
      <w:r>
        <w:rPr>
          <w:rFonts w:hint="eastAsia" w:ascii="Times New Roman" w:hAnsi="Times New Roman" w:eastAsia="仿宋_GB2312" w:cs="Times New Roman"/>
          <w:sz w:val="32"/>
          <w:szCs w:val="32"/>
        </w:rPr>
        <w:t>降落时垂直投影完全</w:t>
      </w:r>
      <w:r>
        <w:rPr>
          <w:rFonts w:ascii="Times New Roman" w:hAnsi="Times New Roman" w:eastAsia="仿宋_GB2312" w:cs="Times New Roman"/>
          <w:sz w:val="32"/>
          <w:szCs w:val="32"/>
        </w:rPr>
        <w:t>未在基地和</w:t>
      </w:r>
      <w:r>
        <w:rPr>
          <w:rFonts w:hint="eastAsia" w:ascii="Times New Roman" w:hAnsi="Times New Roman" w:eastAsia="仿宋_GB2312" w:cs="Times New Roman"/>
          <w:sz w:val="32"/>
          <w:szCs w:val="32"/>
        </w:rPr>
        <w:t>备降区内</w:t>
      </w:r>
      <w:r>
        <w:rPr>
          <w:rFonts w:ascii="Times New Roman" w:hAnsi="Times New Roman" w:eastAsia="仿宋_GB2312" w:cs="Times New Roman"/>
          <w:sz w:val="32"/>
          <w:szCs w:val="32"/>
        </w:rPr>
        <w:t>的，均视为坠机，每坠机一次扣</w:t>
      </w:r>
      <w:r>
        <w:rPr>
          <w:rFonts w:hint="eastAsia" w:ascii="Times New Roman" w:hAnsi="Times New Roman" w:eastAsia="仿宋_GB2312" w:cs="Times New Roman"/>
          <w:sz w:val="32"/>
          <w:szCs w:val="32"/>
        </w:rPr>
        <w:t>10</w:t>
      </w:r>
      <w:r>
        <w:rPr>
          <w:rFonts w:ascii="Times New Roman" w:hAnsi="Times New Roman" w:eastAsia="仿宋_GB2312" w:cs="Times New Roman"/>
          <w:sz w:val="32"/>
          <w:szCs w:val="32"/>
        </w:rPr>
        <w:t>分，坠机次数超过</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次视为本轮比赛结束。</w:t>
      </w:r>
      <w:bookmarkEnd w:id="6"/>
      <w:r>
        <w:rPr>
          <w:rFonts w:hint="eastAsia" w:ascii="Times New Roman" w:hAnsi="Times New Roman" w:eastAsia="仿宋_GB2312" w:cs="Times New Roman"/>
          <w:sz w:val="32"/>
          <w:szCs w:val="32"/>
        </w:rPr>
        <w:t>坠机后必须手动将飞行器移至基地重新起飞。</w:t>
      </w:r>
    </w:p>
    <w:p>
      <w:pPr>
        <w:spacing w:line="560" w:lineRule="exact"/>
        <w:ind w:firstLine="643" w:firstLineChars="200"/>
        <w:jc w:val="both"/>
        <w:rPr>
          <w:rFonts w:ascii="Times New Roman" w:hAnsi="Times New Roman" w:eastAsia="黑体" w:cs="Times New Roman"/>
          <w:b/>
          <w:bCs/>
          <w:sz w:val="32"/>
          <w:szCs w:val="32"/>
        </w:rPr>
      </w:pPr>
      <w:r>
        <w:rPr>
          <w:rFonts w:ascii="Times New Roman" w:hAnsi="Times New Roman" w:eastAsia="黑体" w:cs="Times New Roman"/>
          <w:b/>
          <w:bCs/>
          <w:sz w:val="32"/>
          <w:szCs w:val="32"/>
        </w:rPr>
        <w:t>高中组</w:t>
      </w:r>
    </w:p>
    <w:p>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1.基本任务</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起飞：</w:t>
      </w:r>
      <w:r>
        <w:rPr>
          <w:rFonts w:ascii="Times New Roman" w:hAnsi="Times New Roman" w:eastAsia="仿宋_GB2312" w:cs="Times New Roman"/>
          <w:sz w:val="32"/>
          <w:szCs w:val="32"/>
        </w:rPr>
        <w:t>无人飞行器从</w:t>
      </w:r>
      <w:r>
        <w:rPr>
          <w:rFonts w:hint="eastAsia" w:ascii="Times New Roman" w:hAnsi="Times New Roman" w:eastAsia="仿宋_GB2312" w:cs="Times New Roman"/>
          <w:sz w:val="32"/>
          <w:szCs w:val="32"/>
        </w:rPr>
        <w:t>基地</w:t>
      </w:r>
      <w:r>
        <w:rPr>
          <w:rFonts w:ascii="Times New Roman" w:hAnsi="Times New Roman" w:eastAsia="仿宋_GB2312" w:cs="Times New Roman"/>
          <w:sz w:val="32"/>
          <w:szCs w:val="32"/>
        </w:rPr>
        <w:t>飞，起飞后离地高度500mm以上，悬停</w:t>
      </w:r>
      <w:r>
        <w:rPr>
          <w:rFonts w:hint="eastAsia" w:ascii="Times New Roman" w:hAnsi="Times New Roman" w:eastAsia="仿宋_GB2312" w:cs="Times New Roman"/>
          <w:sz w:val="32"/>
          <w:szCs w:val="32"/>
        </w:rPr>
        <w:t>时间大于3</w:t>
      </w:r>
      <w:r>
        <w:rPr>
          <w:rFonts w:ascii="Times New Roman" w:hAnsi="Times New Roman" w:eastAsia="仿宋_GB2312" w:cs="Times New Roman"/>
          <w:sz w:val="32"/>
          <w:szCs w:val="32"/>
        </w:rPr>
        <w:t>秒。完成得5分，仅计一次得分，不重复计分。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物流运输：</w:t>
      </w:r>
      <w:r>
        <w:rPr>
          <w:rFonts w:hint="eastAsia" w:ascii="Times New Roman" w:hAnsi="Times New Roman" w:eastAsia="仿宋_GB2312" w:cs="Times New Roman"/>
          <w:sz w:val="32"/>
          <w:szCs w:val="32"/>
        </w:rPr>
        <w:t>通过自动挂载（挂载装置必须接触运送物品才有效）将</w:t>
      </w:r>
      <w:r>
        <w:rPr>
          <w:rFonts w:ascii="Times New Roman" w:hAnsi="Times New Roman" w:eastAsia="仿宋_GB2312" w:cs="Times New Roman"/>
          <w:sz w:val="32"/>
          <w:szCs w:val="32"/>
        </w:rPr>
        <w:t>C2-E4</w:t>
      </w:r>
      <w:r>
        <w:rPr>
          <w:rFonts w:hint="eastAsia" w:ascii="Times New Roman" w:hAnsi="Times New Roman" w:eastAsia="仿宋_GB2312" w:cs="Times New Roman"/>
          <w:sz w:val="32"/>
          <w:szCs w:val="32"/>
        </w:rPr>
        <w:t>区域物流平台上摆放的物品</w:t>
      </w:r>
      <w:r>
        <w:rPr>
          <w:rFonts w:ascii="Times New Roman" w:hAnsi="Times New Roman" w:eastAsia="仿宋_GB2312" w:cs="Times New Roman"/>
          <w:sz w:val="32"/>
          <w:szCs w:val="32"/>
        </w:rPr>
        <w:t>A</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B</w:t>
      </w:r>
      <w:r>
        <w:rPr>
          <w:rFonts w:hint="eastAsia" w:ascii="Times New Roman" w:hAnsi="Times New Roman" w:eastAsia="仿宋_GB2312" w:cs="Times New Roman"/>
          <w:sz w:val="32"/>
          <w:szCs w:val="32"/>
        </w:rPr>
        <w:t>运送至空中侦测识别出来的坐标点区域。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成功完成得20分。</w:t>
      </w:r>
    </w:p>
    <w:p>
      <w:pPr>
        <w:spacing w:line="560" w:lineRule="exact"/>
        <w:ind w:firstLine="643"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隧道穿越</w:t>
      </w:r>
      <w:r>
        <w:rPr>
          <w:rFonts w:ascii="Times New Roman" w:hAnsi="Times New Roman" w:eastAsia="仿宋_GB2312" w:cs="Times New Roman"/>
          <w:b/>
          <w:bCs/>
          <w:sz w:val="32"/>
          <w:szCs w:val="32"/>
        </w:rPr>
        <w:t>：</w:t>
      </w:r>
      <w:r>
        <w:rPr>
          <w:rFonts w:hint="eastAsia" w:ascii="Times New Roman" w:hAnsi="Times New Roman" w:eastAsia="仿宋_GB2312" w:cs="Times New Roman"/>
          <w:sz w:val="32"/>
          <w:szCs w:val="32"/>
        </w:rPr>
        <w:t>两次同方向穿越隧道环（自行选择穿越方向，必须在任务开始前向裁判汇报预设穿越方向），进入时打开“照明灯”，出隧道后及时关闭“照明灯”。灯光颜色不限。</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成功完成得10分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空中侦测：</w:t>
      </w:r>
      <w:r>
        <w:rPr>
          <w:rFonts w:hint="eastAsia" w:ascii="Times New Roman" w:hAnsi="Times New Roman" w:eastAsia="仿宋_GB2312" w:cs="Times New Roman"/>
          <w:sz w:val="32"/>
          <w:szCs w:val="32"/>
        </w:rPr>
        <w:t>飞越至</w:t>
      </w:r>
      <w:r>
        <w:rPr>
          <w:rFonts w:ascii="Times New Roman" w:hAnsi="Times New Roman" w:eastAsia="仿宋_GB2312" w:cs="Times New Roman"/>
          <w:sz w:val="32"/>
          <w:szCs w:val="32"/>
        </w:rPr>
        <w:t>F5-H7</w:t>
      </w:r>
      <w:r>
        <w:rPr>
          <w:rFonts w:hint="eastAsia" w:ascii="Times New Roman" w:hAnsi="Times New Roman" w:eastAsia="仿宋_GB2312" w:cs="Times New Roman"/>
          <w:sz w:val="32"/>
          <w:szCs w:val="32"/>
        </w:rPr>
        <w:t>区域，对小正方形内的坐标点进行识别，并立即在电脑或平板端的虚拟地图上向裁判展示飞行器当前实时位置以及识别结果。</w:t>
      </w:r>
      <w:r>
        <w:rPr>
          <w:rFonts w:ascii="Times New Roman" w:hAnsi="Times New Roman" w:eastAsia="仿宋_GB2312" w:cs="Times New Roman"/>
          <w:sz w:val="32"/>
          <w:szCs w:val="32"/>
        </w:rPr>
        <w:t xml:space="preserve"> </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识别结果准确得10分</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飞行器位置准确得5分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高空</w:t>
      </w:r>
      <w:r>
        <w:rPr>
          <w:rFonts w:hint="eastAsia" w:ascii="Times New Roman" w:hAnsi="Times New Roman" w:eastAsia="仿宋_GB2312" w:cs="Times New Roman"/>
          <w:b/>
          <w:bCs/>
          <w:sz w:val="32"/>
          <w:szCs w:val="32"/>
        </w:rPr>
        <w:t>救援</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利用无人机的飞行能力</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载的探测设备和任务结构件，对高空清障区域内的“</w:t>
      </w:r>
      <w:r>
        <w:rPr>
          <w:rFonts w:hint="eastAsia" w:ascii="Times New Roman" w:hAnsi="Times New Roman" w:eastAsia="仿宋_GB2312" w:cs="Times New Roman"/>
          <w:sz w:val="32"/>
          <w:szCs w:val="32"/>
        </w:rPr>
        <w:t>受困人员</w:t>
      </w:r>
      <w:r>
        <w:rPr>
          <w:rFonts w:ascii="Times New Roman" w:hAnsi="Times New Roman" w:eastAsia="仿宋_GB2312" w:cs="Times New Roman"/>
          <w:sz w:val="32"/>
          <w:szCs w:val="32"/>
        </w:rPr>
        <w:t>”进行搜索和定位。</w:t>
      </w:r>
      <w:r>
        <w:rPr>
          <w:rFonts w:hint="eastAsia" w:ascii="Times New Roman" w:hAnsi="Times New Roman" w:eastAsia="仿宋_GB2312" w:cs="Times New Roman"/>
          <w:sz w:val="32"/>
          <w:szCs w:val="32"/>
        </w:rPr>
        <w:t>并将2名位于高空平台的“受困人员”运送至比赛调式前随机抽取的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个备降区域，在无人机完全降落前运送对象与无人机分离视为该任务未完成。“受困人员”的摆放位置由选手自行决定，间隔100mm。</w:t>
      </w:r>
    </w:p>
    <w:p>
      <w:pPr>
        <w:spacing w:line="560" w:lineRule="exact"/>
        <w:ind w:firstLine="640" w:firstLineChars="200"/>
        <w:jc w:val="both"/>
        <w:rPr>
          <w:rFonts w:ascii="Times New Roman" w:hAnsi="Times New Roman" w:eastAsia="仿宋_GB2312" w:cs="Times New Roman"/>
          <w:sz w:val="24"/>
          <w:szCs w:val="24"/>
        </w:rPr>
      </w:pPr>
      <w:r>
        <w:rPr>
          <w:rFonts w:hint="eastAsia" w:ascii="Times New Roman" w:hAnsi="Times New Roman" w:eastAsia="仿宋_GB2312" w:cs="Times New Roman"/>
          <w:sz w:val="32"/>
          <w:szCs w:val="32"/>
        </w:rPr>
        <w:t>清障平台的摆放位置在调试开始前抽签决定。可能的摆放位置参考小学组示意图。</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成功营救一名人员得10分。</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成功营救两名人员得30分</w:t>
      </w:r>
    </w:p>
    <w:p>
      <w:pPr>
        <w:spacing w:line="56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返航：</w:t>
      </w:r>
      <w:r>
        <w:rPr>
          <w:rFonts w:ascii="Times New Roman" w:hAnsi="Times New Roman" w:eastAsia="仿宋_GB2312" w:cs="Times New Roman"/>
          <w:sz w:val="32"/>
          <w:szCs w:val="32"/>
        </w:rPr>
        <w:t>完成</w:t>
      </w:r>
      <w:r>
        <w:rPr>
          <w:rFonts w:hint="eastAsia" w:ascii="Times New Roman" w:hAnsi="Times New Roman" w:eastAsia="仿宋_GB2312" w:cs="Times New Roman"/>
          <w:sz w:val="32"/>
          <w:szCs w:val="32"/>
        </w:rPr>
        <w:t>常规任务</w:t>
      </w:r>
      <w:r>
        <w:rPr>
          <w:rFonts w:ascii="Times New Roman" w:hAnsi="Times New Roman" w:eastAsia="仿宋_GB2312" w:cs="Times New Roman"/>
          <w:sz w:val="32"/>
          <w:szCs w:val="32"/>
        </w:rPr>
        <w:t>后无人机</w:t>
      </w:r>
      <w:r>
        <w:rPr>
          <w:rFonts w:hint="eastAsia" w:ascii="Times New Roman" w:hAnsi="Times New Roman" w:eastAsia="仿宋_GB2312" w:cs="Times New Roman"/>
          <w:sz w:val="32"/>
          <w:szCs w:val="32"/>
        </w:rPr>
        <w:t>必须</w:t>
      </w:r>
      <w:r>
        <w:rPr>
          <w:rFonts w:ascii="Times New Roman" w:hAnsi="Times New Roman" w:eastAsia="仿宋_GB2312" w:cs="Times New Roman"/>
          <w:sz w:val="32"/>
          <w:szCs w:val="32"/>
        </w:rPr>
        <w:t>返回基地区</w:t>
      </w:r>
      <w:r>
        <w:rPr>
          <w:rFonts w:hint="eastAsia" w:ascii="Times New Roman" w:hAnsi="Times New Roman" w:eastAsia="仿宋_GB2312" w:cs="Times New Roman"/>
          <w:sz w:val="32"/>
          <w:szCs w:val="32"/>
        </w:rPr>
        <w:t>。无人机垂直投影完全在基地内视为返航成功。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返航成功得10分。</w:t>
      </w:r>
    </w:p>
    <w:p>
      <w:pPr>
        <w:spacing w:line="560" w:lineRule="exact"/>
        <w:ind w:firstLine="640" w:firstLineChars="200"/>
        <w:jc w:val="both"/>
        <w:rPr>
          <w:rFonts w:ascii="Times New Roman" w:hAnsi="Times New Roman" w:eastAsia="黑体" w:cs="Times New Roman"/>
          <w:b/>
          <w:bCs/>
          <w:sz w:val="32"/>
          <w:szCs w:val="32"/>
        </w:rPr>
      </w:pPr>
      <w:r>
        <w:rPr>
          <w:rFonts w:ascii="Times New Roman" w:hAnsi="Times New Roman" w:eastAsia="黑体" w:cs="Times New Roman"/>
          <w:sz w:val="32"/>
          <w:szCs w:val="32"/>
        </w:rPr>
        <w:t xml:space="preserve">2.挑战任务 </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挑战任务分为两个连续阶段，必须按顺序完成。命令方块有两个，均在常规任务开始前由每组选手自行抽取本队任务，第一块命令方块摆放在基地区内。二维码等定位设备不允许放置在命令方块上。第二块命令方块摆放在第一块命令方块指向的任务区域中央位置。</w:t>
      </w:r>
    </w:p>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仿宋_GB2312" w:cs="Times New Roman"/>
          <w:sz w:val="32"/>
          <w:szCs w:val="32"/>
        </w:rPr>
        <w:t>无人飞行器必须按照命令方块所示命令完成相应任务。</w:t>
      </w:r>
    </w:p>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成功完成第一阶段得10分。</w:t>
      </w:r>
    </w:p>
    <w:p>
      <w:pPr>
        <w:spacing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两个阶段连续并成功完成得30分。</w:t>
      </w:r>
    </w:p>
    <w:p>
      <w:pPr>
        <w:spacing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如在比赛过程中需要更换无人飞行器电池或进行维修，必须在</w:t>
      </w:r>
      <w:r>
        <w:rPr>
          <w:rFonts w:hint="eastAsia" w:ascii="Times New Roman" w:hAnsi="Times New Roman" w:eastAsia="仿宋_GB2312" w:cs="Times New Roman"/>
          <w:sz w:val="32"/>
          <w:szCs w:val="32"/>
        </w:rPr>
        <w:t>备降区</w:t>
      </w:r>
      <w:r>
        <w:rPr>
          <w:rFonts w:ascii="Times New Roman" w:hAnsi="Times New Roman" w:eastAsia="仿宋_GB2312" w:cs="Times New Roman"/>
          <w:sz w:val="32"/>
          <w:szCs w:val="32"/>
        </w:rPr>
        <w:t>进行，且更换或维修结束后必须从</w:t>
      </w:r>
      <w:r>
        <w:rPr>
          <w:rFonts w:hint="eastAsia" w:ascii="Times New Roman" w:hAnsi="Times New Roman" w:eastAsia="仿宋_GB2312" w:cs="Times New Roman"/>
          <w:sz w:val="32"/>
          <w:szCs w:val="32"/>
        </w:rPr>
        <w:t>备降</w:t>
      </w:r>
      <w:r>
        <w:rPr>
          <w:rFonts w:ascii="Times New Roman" w:hAnsi="Times New Roman" w:eastAsia="仿宋_GB2312" w:cs="Times New Roman"/>
          <w:sz w:val="32"/>
          <w:szCs w:val="32"/>
        </w:rPr>
        <w:t>区起飞执行后续任务。</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凡是降落时垂直投影完全未在基地和备降区内的，均视为坠机，每坠机一次扣</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分，坠机次数超过</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次视为本轮比赛结束。坠机后必须手动将飞行器移至基地重新起飞。</w:t>
      </w:r>
    </w:p>
    <w:p>
      <w:pPr>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四、比赛</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（一）赛程与赛制</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1.赛程分三个阶段，编程与调试阶段、机器人封存阶段、竞赛阶段。</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2.比赛采用大循环赛制，共两轮，最终取两轮比赛中最好的一次成绩进行排名。如果出现局部并列排名的情况，按如下顺序决定先后：</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（1）两轮挑战任务完成总分高的队伍在前</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）最高分场次用时少的队</w:t>
      </w:r>
      <w:r>
        <w:rPr>
          <w:rFonts w:hint="eastAsia" w:ascii="Times New Roman" w:hAnsi="Times New Roman" w:eastAsia="仿宋_GB2312" w:cs="Times New Roman"/>
          <w:sz w:val="32"/>
          <w:szCs w:val="32"/>
        </w:rPr>
        <w:t>伍</w:t>
      </w:r>
      <w:r>
        <w:rPr>
          <w:rFonts w:ascii="Times New Roman" w:hAnsi="Times New Roman" w:eastAsia="仿宋_GB2312" w:cs="Times New Roman"/>
          <w:sz w:val="32"/>
          <w:szCs w:val="32"/>
        </w:rPr>
        <w:t>在前。</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）使用二维码数量少的队伍在前。</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）坠机次数少的在前。</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3.编程与调试阶段：总时长90分钟，参赛选手自己编写程序并调试无人飞行器。</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4.机器人封存阶段：编程与调试结束后，参赛选手由裁判员协助在无人飞行器以及编程设备醒目处张贴队伍编号后，将其统一封存。</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5.竞赛阶段：比赛</w:t>
      </w:r>
      <w:r>
        <w:rPr>
          <w:rFonts w:hint="eastAsia" w:ascii="Times New Roman" w:hAnsi="Times New Roman" w:eastAsia="仿宋_GB2312" w:cs="Times New Roman"/>
          <w:sz w:val="32"/>
          <w:szCs w:val="32"/>
        </w:rPr>
        <w:t>总</w:t>
      </w:r>
      <w:r>
        <w:rPr>
          <w:rFonts w:ascii="Times New Roman" w:hAnsi="Times New Roman" w:eastAsia="仿宋_GB2312" w:cs="Times New Roman"/>
          <w:sz w:val="32"/>
          <w:szCs w:val="32"/>
        </w:rPr>
        <w:t>时长为300秒。先进行基本任务，再进行挑战任务。基本任务环节的任务顺序不分先后，</w:t>
      </w:r>
      <w:r>
        <w:rPr>
          <w:rFonts w:hint="eastAsia" w:ascii="Times New Roman" w:hAnsi="Times New Roman" w:eastAsia="仿宋_GB2312" w:cs="Times New Roman"/>
          <w:sz w:val="32"/>
          <w:szCs w:val="32"/>
        </w:rPr>
        <w:t>挑战任务必须按顺序完成。</w:t>
      </w:r>
      <w:r>
        <w:rPr>
          <w:rFonts w:ascii="Times New Roman" w:hAnsi="Times New Roman" w:eastAsia="仿宋_GB2312" w:cs="Times New Roman"/>
          <w:sz w:val="32"/>
          <w:szCs w:val="32"/>
        </w:rPr>
        <w:t>参赛队确认准备好后须举手示意，裁判员发出指令后，选手方可运行无人飞行器程序。在裁判员发出指令前运行无人飞行器程序将受到警告或犯规处罚。无人飞行器一旦离开基地或</w:t>
      </w:r>
      <w:r>
        <w:rPr>
          <w:rFonts w:hint="eastAsia" w:ascii="Times New Roman" w:hAnsi="Times New Roman" w:eastAsia="仿宋_GB2312" w:cs="Times New Roman"/>
          <w:sz w:val="32"/>
          <w:szCs w:val="32"/>
        </w:rPr>
        <w:t>备降</w:t>
      </w:r>
      <w:r>
        <w:rPr>
          <w:rFonts w:ascii="Times New Roman" w:hAnsi="Times New Roman" w:eastAsia="仿宋_GB2312" w:cs="Times New Roman"/>
          <w:sz w:val="32"/>
          <w:szCs w:val="32"/>
        </w:rPr>
        <w:t>区，选手不能再触碰无人飞行器。</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6.检录与抽签：参赛队检录后，编程与调试阶段前，裁判和选手代表抽签决定</w:t>
      </w:r>
      <w:r>
        <w:rPr>
          <w:rFonts w:hint="eastAsia" w:ascii="Times New Roman" w:hAnsi="Times New Roman" w:eastAsia="仿宋_GB2312" w:cs="Times New Roman"/>
          <w:sz w:val="32"/>
          <w:szCs w:val="32"/>
        </w:rPr>
        <w:t>常规任务各要素</w:t>
      </w:r>
      <w:r>
        <w:rPr>
          <w:rFonts w:ascii="Times New Roman" w:hAnsi="Times New Roman" w:eastAsia="仿宋_GB2312" w:cs="Times New Roman"/>
          <w:sz w:val="32"/>
          <w:szCs w:val="32"/>
        </w:rPr>
        <w:t>的位置。</w:t>
      </w:r>
    </w:p>
    <w:p>
      <w:pPr>
        <w:spacing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挑战任务抽签由选手在起飞前抽取。</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（二）编程、调试</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1.本次活动无人飞行器不需要现场搭建。队员不得携带U盘、光盘、无线路由器、手机、相机等存储和通信器材。</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2.所有的无人飞行器程序必须现场编写并写入飞行器，再进行现场调试。</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（三）比赛结束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1.飞行器坠毁或经裁判现场判断失去安全飞行能力。</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2.飞行器完全飞出场地图。</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3.重启次数超过三次。</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4.选手主动向当值裁判申请退出比赛。</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5.比赛时间结束。</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（四）犯规与取消比赛资格</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1.经过催促仍未及时到达比赛场地的参赛队将取消其本轮比赛资格。</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2.赛前准备场地时间超过2分钟，飞行器仍未起飞的， 取消其本轮比赛资格。</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3.言行干扰他人正常比赛,严重危害赛场秩序的取消其比赛资格。</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4.飞行器桨叶未加装保护罩的取消其比赛资格。</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5.参赛选手进入竞赛场地后没有佩戴护目镜的取消其比赛资格。</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6.参赛选手不听从裁判员的指令将被取消比赛资格。</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7.参赛选手第一次误启动将受到裁判员警告，第二次误启动将按本轮比赛弃权处理。</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8.参赛选手在未经裁判长允许的情况下，在赛场内擅自与教练员或家长联系，将被立即取消所有比赛成绩。</w:t>
      </w:r>
    </w:p>
    <w:p>
      <w:pPr>
        <w:spacing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9.在裁判长的酌定下，反复犯规和被取消比赛资格的某一参赛队可能被禁止参加所有后续场次的比赛。</w:t>
      </w: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280" w:firstLineChars="400"/>
        <w:jc w:val="both"/>
        <w:rPr>
          <w:rFonts w:ascii="Times New Roman" w:hAnsi="Times New Roman" w:eastAsia="黑体" w:cs="Times New Roman"/>
          <w:color w:val="auto"/>
          <w:sz w:val="32"/>
          <w:szCs w:val="32"/>
        </w:rPr>
      </w:pPr>
    </w:p>
    <w:p>
      <w:pPr>
        <w:spacing w:line="360" w:lineRule="auto"/>
        <w:ind w:firstLine="1120" w:firstLineChars="400"/>
        <w:jc w:val="both"/>
        <w:rPr>
          <w:rFonts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2026年苏州市</w:t>
      </w:r>
      <w:r>
        <w:rPr>
          <w:rFonts w:ascii="Times New Roman" w:hAnsi="Times New Roman" w:eastAsia="黑体" w:cs="Times New Roman"/>
          <w:color w:val="auto"/>
          <w:sz w:val="28"/>
          <w:szCs w:val="28"/>
        </w:rPr>
        <w:t>C类：可编程控制的空</w:t>
      </w:r>
      <w:bookmarkStart w:id="7" w:name="_GoBack"/>
      <w:bookmarkEnd w:id="7"/>
      <w:r>
        <w:rPr>
          <w:rFonts w:ascii="Times New Roman" w:hAnsi="Times New Roman" w:eastAsia="黑体" w:cs="Times New Roman"/>
          <w:color w:val="auto"/>
          <w:sz w:val="28"/>
          <w:szCs w:val="28"/>
        </w:rPr>
        <w:t>中飞行器(飞行机器人)</w:t>
      </w:r>
    </w:p>
    <w:p>
      <w:pPr>
        <w:spacing w:line="360" w:lineRule="auto"/>
        <w:jc w:val="center"/>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竞赛记分表</w:t>
      </w:r>
    </w:p>
    <w:p>
      <w:pPr>
        <w:spacing w:before="75" w:line="360" w:lineRule="auto"/>
        <w:ind w:firstLine="1150" w:firstLineChars="500"/>
        <w:jc w:val="both"/>
        <w:rPr>
          <w:rFonts w:ascii="Times New Roman" w:hAnsi="Times New Roman" w:eastAsia="仿宋" w:cs="Times New Roman"/>
          <w:color w:val="auto"/>
          <w:sz w:val="23"/>
          <w:szCs w:val="23"/>
          <w:u w:val="single"/>
        </w:rPr>
      </w:pPr>
      <w:r>
        <w:rPr>
          <w:rFonts w:ascii="Times New Roman" w:hAnsi="Times New Roman" w:eastAsia="仿宋" w:cs="Times New Roman"/>
          <w:color w:val="auto"/>
          <w:sz w:val="23"/>
          <w:szCs w:val="23"/>
        </w:rPr>
        <w:t>组别：</w:t>
      </w:r>
      <w:r>
        <w:rPr>
          <w:rFonts w:ascii="Times New Roman" w:hAnsi="Times New Roman" w:eastAsia="仿宋" w:cs="Times New Roman"/>
          <w:color w:val="auto"/>
          <w:sz w:val="23"/>
          <w:szCs w:val="23"/>
          <w:u w:val="single"/>
        </w:rPr>
        <w:t xml:space="preserve">          </w:t>
      </w:r>
      <w:r>
        <w:rPr>
          <w:rFonts w:ascii="Times New Roman" w:hAnsi="Times New Roman" w:eastAsia="仿宋" w:cs="Times New Roman"/>
          <w:color w:val="auto"/>
          <w:sz w:val="23"/>
          <w:szCs w:val="23"/>
        </w:rPr>
        <w:t>参赛学校 ：</w:t>
      </w:r>
      <w:r>
        <w:rPr>
          <w:rFonts w:ascii="Times New Roman" w:hAnsi="Times New Roman" w:eastAsia="仿宋" w:cs="Times New Roman"/>
          <w:color w:val="auto"/>
          <w:sz w:val="23"/>
          <w:szCs w:val="23"/>
          <w:u w:val="single"/>
        </w:rPr>
        <w:t xml:space="preserve">        </w:t>
      </w:r>
      <w:r>
        <w:rPr>
          <w:rFonts w:ascii="Times New Roman" w:hAnsi="Times New Roman" w:eastAsia="仿宋" w:cs="Times New Roman"/>
          <w:color w:val="auto"/>
          <w:sz w:val="23"/>
          <w:szCs w:val="23"/>
        </w:rPr>
        <w:t>队伍编号：</w:t>
      </w:r>
      <w:r>
        <w:rPr>
          <w:rFonts w:ascii="Times New Roman" w:hAnsi="Times New Roman" w:eastAsia="仿宋" w:cs="Times New Roman"/>
          <w:color w:val="auto"/>
          <w:sz w:val="23"/>
          <w:szCs w:val="23"/>
          <w:u w:val="single"/>
        </w:rPr>
        <w:t xml:space="preserve">           </w:t>
      </w:r>
    </w:p>
    <w:tbl>
      <w:tblPr>
        <w:tblStyle w:val="11"/>
        <w:tblpPr w:leftFromText="180" w:rightFromText="180" w:vertAnchor="text" w:horzAnchor="page" w:tblpX="1586" w:tblpY="85"/>
        <w:tblOverlap w:val="never"/>
        <w:tblW w:w="850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22"/>
        <w:gridCol w:w="2800"/>
        <w:gridCol w:w="764"/>
        <w:gridCol w:w="1164"/>
        <w:gridCol w:w="844"/>
        <w:gridCol w:w="1123"/>
        <w:gridCol w:w="8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922" w:type="dxa"/>
            <w:vAlign w:val="center"/>
          </w:tcPr>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评分类别</w:t>
            </w:r>
          </w:p>
        </w:tc>
        <w:tc>
          <w:tcPr>
            <w:tcW w:w="2800" w:type="dxa"/>
            <w:vAlign w:val="center"/>
          </w:tcPr>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评分项目</w:t>
            </w:r>
          </w:p>
        </w:tc>
        <w:tc>
          <w:tcPr>
            <w:tcW w:w="764" w:type="dxa"/>
            <w:vAlign w:val="center"/>
          </w:tcPr>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计分</w:t>
            </w:r>
          </w:p>
        </w:tc>
        <w:tc>
          <w:tcPr>
            <w:tcW w:w="1164" w:type="dxa"/>
            <w:vAlign w:val="center"/>
          </w:tcPr>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第一轮</w:t>
            </w:r>
          </w:p>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数量/完成</w:t>
            </w:r>
          </w:p>
        </w:tc>
        <w:tc>
          <w:tcPr>
            <w:tcW w:w="844" w:type="dxa"/>
            <w:vAlign w:val="center"/>
          </w:tcPr>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第一轮</w:t>
            </w:r>
          </w:p>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得分</w:t>
            </w:r>
          </w:p>
        </w:tc>
        <w:tc>
          <w:tcPr>
            <w:tcW w:w="1123" w:type="dxa"/>
            <w:vAlign w:val="center"/>
          </w:tcPr>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第二轮</w:t>
            </w:r>
          </w:p>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数量/完成</w:t>
            </w:r>
          </w:p>
        </w:tc>
        <w:tc>
          <w:tcPr>
            <w:tcW w:w="885" w:type="dxa"/>
            <w:vAlign w:val="center"/>
          </w:tcPr>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第二轮</w:t>
            </w:r>
          </w:p>
          <w:p>
            <w:pPr>
              <w:spacing w:before="220"/>
              <w:jc w:val="center"/>
              <w:rPr>
                <w:rFonts w:ascii="Times New Roman" w:hAnsi="Times New Roman" w:eastAsia="仿宋" w:cs="Times New Roman"/>
                <w:b/>
                <w:bCs/>
                <w:color w:val="auto"/>
                <w:spacing w:val="-1"/>
                <w:sz w:val="23"/>
                <w:szCs w:val="23"/>
              </w:rPr>
            </w:pPr>
            <w:r>
              <w:rPr>
                <w:rFonts w:ascii="Times New Roman" w:hAnsi="Times New Roman" w:eastAsia="仿宋" w:cs="Times New Roman"/>
                <w:b/>
                <w:bCs/>
                <w:color w:val="auto"/>
                <w:spacing w:val="-1"/>
                <w:sz w:val="23"/>
                <w:szCs w:val="23"/>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restart"/>
            <w:vAlign w:val="center"/>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基本任务</w:t>
            </w:r>
          </w:p>
        </w:tc>
        <w:tc>
          <w:tcPr>
            <w:tcW w:w="2800"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起飞</w:t>
            </w:r>
          </w:p>
        </w:tc>
        <w:tc>
          <w:tcPr>
            <w:tcW w:w="764"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5分</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922" w:type="dxa"/>
            <w:vMerge w:val="continue"/>
            <w:vAlign w:val="center"/>
          </w:tcPr>
          <w:p>
            <w:pPr>
              <w:spacing w:before="220"/>
              <w:jc w:val="center"/>
              <w:rPr>
                <w:rFonts w:ascii="Times New Roman" w:hAnsi="Times New Roman" w:eastAsia="仿宋" w:cs="Times New Roman"/>
                <w:color w:val="auto"/>
                <w:spacing w:val="-1"/>
                <w:sz w:val="23"/>
                <w:szCs w:val="23"/>
              </w:rPr>
            </w:pPr>
          </w:p>
        </w:tc>
        <w:tc>
          <w:tcPr>
            <w:tcW w:w="2800" w:type="dxa"/>
            <w:shd w:val="clear" w:color="auto" w:fill="auto"/>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z w:val="24"/>
                <w:szCs w:val="24"/>
              </w:rPr>
              <w:t>物流运输</w:t>
            </w:r>
          </w:p>
        </w:tc>
        <w:tc>
          <w:tcPr>
            <w:tcW w:w="764" w:type="dxa"/>
            <w:shd w:val="clear" w:color="auto" w:fill="auto"/>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20分</w:t>
            </w:r>
          </w:p>
        </w:tc>
        <w:tc>
          <w:tcPr>
            <w:tcW w:w="1164"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 xml:space="preserve">   </w:t>
            </w: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 xml:space="preserve">     </w:t>
            </w:r>
          </w:p>
        </w:tc>
        <w:tc>
          <w:tcPr>
            <w:tcW w:w="885" w:type="dxa"/>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922" w:type="dxa"/>
            <w:vMerge w:val="continue"/>
            <w:vAlign w:val="center"/>
          </w:tcPr>
          <w:p>
            <w:pPr>
              <w:spacing w:before="220"/>
              <w:jc w:val="center"/>
              <w:rPr>
                <w:rFonts w:ascii="Times New Roman" w:hAnsi="Times New Roman" w:eastAsia="仿宋" w:cs="Times New Roman"/>
                <w:color w:val="auto"/>
                <w:spacing w:val="-1"/>
                <w:sz w:val="23"/>
                <w:szCs w:val="23"/>
              </w:rPr>
            </w:pPr>
          </w:p>
        </w:tc>
        <w:tc>
          <w:tcPr>
            <w:tcW w:w="2800" w:type="dxa"/>
            <w:shd w:val="clear" w:color="auto" w:fill="auto"/>
          </w:tcPr>
          <w:p>
            <w:pPr>
              <w:spacing w:before="220"/>
              <w:jc w:val="center"/>
              <w:rPr>
                <w:rFonts w:ascii="仿宋" w:hAnsi="仿宋" w:eastAsia="仿宋" w:cs="Times New Roman"/>
                <w:color w:val="auto"/>
                <w:spacing w:val="-1"/>
                <w:sz w:val="23"/>
                <w:szCs w:val="23"/>
              </w:rPr>
            </w:pPr>
            <w:r>
              <w:rPr>
                <w:rFonts w:hint="eastAsia" w:ascii="仿宋" w:hAnsi="仿宋" w:eastAsia="仿宋" w:cs="宋体"/>
                <w:sz w:val="24"/>
                <w:szCs w:val="24"/>
              </w:rPr>
              <w:t>隧道穿越</w:t>
            </w:r>
          </w:p>
        </w:tc>
        <w:tc>
          <w:tcPr>
            <w:tcW w:w="764" w:type="dxa"/>
            <w:shd w:val="clear" w:color="auto" w:fill="auto"/>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10分</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pPr>
              <w:spacing w:before="220"/>
              <w:jc w:val="center"/>
              <w:rPr>
                <w:rFonts w:ascii="Times New Roman" w:hAnsi="Times New Roman" w:eastAsia="仿宋" w:cs="Times New Roman"/>
                <w:color w:val="auto"/>
                <w:spacing w:val="-1"/>
                <w:sz w:val="23"/>
                <w:szCs w:val="23"/>
              </w:rPr>
            </w:pPr>
          </w:p>
        </w:tc>
        <w:tc>
          <w:tcPr>
            <w:tcW w:w="2800" w:type="dxa"/>
            <w:vMerge w:val="restart"/>
            <w:vAlign w:val="center"/>
          </w:tcPr>
          <w:p>
            <w:pPr>
              <w:spacing w:before="220"/>
              <w:jc w:val="center"/>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空中侦测</w:t>
            </w:r>
          </w:p>
        </w:tc>
        <w:tc>
          <w:tcPr>
            <w:tcW w:w="764"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10</w:t>
            </w:r>
            <w:r>
              <w:rPr>
                <w:rFonts w:ascii="Times New Roman" w:hAnsi="Times New Roman" w:eastAsia="仿宋" w:cs="Times New Roman"/>
                <w:color w:val="auto"/>
                <w:spacing w:val="-1"/>
                <w:sz w:val="23"/>
                <w:szCs w:val="23"/>
              </w:rPr>
              <w:t>分</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2" w:hRule="atLeast"/>
        </w:trPr>
        <w:tc>
          <w:tcPr>
            <w:tcW w:w="922" w:type="dxa"/>
            <w:vMerge w:val="continue"/>
            <w:vAlign w:val="center"/>
          </w:tcPr>
          <w:p>
            <w:pPr>
              <w:spacing w:before="220"/>
              <w:jc w:val="center"/>
              <w:rPr>
                <w:rFonts w:ascii="Times New Roman" w:hAnsi="Times New Roman" w:eastAsia="仿宋" w:cs="Times New Roman"/>
                <w:color w:val="auto"/>
                <w:spacing w:val="-1"/>
                <w:sz w:val="23"/>
                <w:szCs w:val="23"/>
              </w:rPr>
            </w:pPr>
          </w:p>
        </w:tc>
        <w:tc>
          <w:tcPr>
            <w:tcW w:w="2800" w:type="dxa"/>
            <w:vMerge w:val="continue"/>
          </w:tcPr>
          <w:p>
            <w:pPr>
              <w:spacing w:before="220"/>
              <w:jc w:val="center"/>
              <w:rPr>
                <w:rFonts w:ascii="Times New Roman" w:hAnsi="Times New Roman" w:eastAsia="仿宋" w:cs="Times New Roman"/>
                <w:color w:val="auto"/>
                <w:sz w:val="24"/>
                <w:szCs w:val="24"/>
              </w:rPr>
            </w:pPr>
          </w:p>
        </w:tc>
        <w:tc>
          <w:tcPr>
            <w:tcW w:w="764"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5分</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pPr>
              <w:spacing w:before="220"/>
              <w:jc w:val="center"/>
              <w:rPr>
                <w:rFonts w:ascii="Times New Roman" w:hAnsi="Times New Roman" w:eastAsia="仿宋" w:cs="Times New Roman"/>
                <w:color w:val="auto"/>
                <w:spacing w:val="-1"/>
                <w:sz w:val="23"/>
                <w:szCs w:val="23"/>
              </w:rPr>
            </w:pPr>
          </w:p>
        </w:tc>
        <w:tc>
          <w:tcPr>
            <w:tcW w:w="2800" w:type="dxa"/>
            <w:vMerge w:val="restart"/>
            <w:vAlign w:val="center"/>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高空救援</w:t>
            </w:r>
          </w:p>
        </w:tc>
        <w:tc>
          <w:tcPr>
            <w:tcW w:w="764"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10分</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pPr>
              <w:spacing w:before="220"/>
              <w:jc w:val="center"/>
              <w:rPr>
                <w:rFonts w:ascii="Times New Roman" w:hAnsi="Times New Roman" w:eastAsia="仿宋" w:cs="Times New Roman"/>
                <w:color w:val="auto"/>
                <w:spacing w:val="-1"/>
                <w:sz w:val="23"/>
                <w:szCs w:val="23"/>
              </w:rPr>
            </w:pPr>
          </w:p>
        </w:tc>
        <w:tc>
          <w:tcPr>
            <w:tcW w:w="2800" w:type="dxa"/>
            <w:vMerge w:val="continue"/>
          </w:tcPr>
          <w:p>
            <w:pPr>
              <w:spacing w:before="220"/>
              <w:jc w:val="center"/>
              <w:rPr>
                <w:rFonts w:ascii="Times New Roman" w:hAnsi="Times New Roman" w:eastAsia="仿宋" w:cs="Times New Roman"/>
                <w:color w:val="auto"/>
                <w:spacing w:val="-1"/>
                <w:sz w:val="23"/>
                <w:szCs w:val="23"/>
              </w:rPr>
            </w:pPr>
          </w:p>
        </w:tc>
        <w:tc>
          <w:tcPr>
            <w:tcW w:w="764"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20分</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22" w:type="dxa"/>
            <w:vMerge w:val="continue"/>
            <w:vAlign w:val="center"/>
          </w:tcPr>
          <w:p>
            <w:pPr>
              <w:spacing w:before="220"/>
              <w:jc w:val="center"/>
              <w:rPr>
                <w:rFonts w:ascii="Times New Roman" w:hAnsi="Times New Roman" w:eastAsia="仿宋" w:cs="Times New Roman"/>
                <w:color w:val="auto"/>
                <w:spacing w:val="-1"/>
                <w:sz w:val="23"/>
                <w:szCs w:val="23"/>
              </w:rPr>
            </w:pPr>
          </w:p>
        </w:tc>
        <w:tc>
          <w:tcPr>
            <w:tcW w:w="2800"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返航</w:t>
            </w:r>
          </w:p>
        </w:tc>
        <w:tc>
          <w:tcPr>
            <w:tcW w:w="764"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10分</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22" w:type="dxa"/>
            <w:vMerge w:val="restart"/>
            <w:vAlign w:val="center"/>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挑战任务</w:t>
            </w:r>
          </w:p>
        </w:tc>
        <w:tc>
          <w:tcPr>
            <w:tcW w:w="2800"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任务一</w:t>
            </w:r>
          </w:p>
        </w:tc>
        <w:tc>
          <w:tcPr>
            <w:tcW w:w="764"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1</w:t>
            </w:r>
            <w:r>
              <w:rPr>
                <w:rFonts w:ascii="Times New Roman" w:hAnsi="Times New Roman" w:eastAsia="仿宋" w:cs="Times New Roman"/>
                <w:color w:val="auto"/>
                <w:spacing w:val="-1"/>
                <w:sz w:val="23"/>
                <w:szCs w:val="23"/>
              </w:rPr>
              <w:t>0</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22" w:type="dxa"/>
            <w:vMerge w:val="continue"/>
          </w:tcPr>
          <w:p>
            <w:pPr>
              <w:spacing w:before="220"/>
              <w:jc w:val="center"/>
              <w:rPr>
                <w:rFonts w:ascii="Times New Roman" w:hAnsi="Times New Roman" w:eastAsia="仿宋" w:cs="Times New Roman"/>
                <w:color w:val="auto"/>
                <w:spacing w:val="-1"/>
                <w:sz w:val="23"/>
                <w:szCs w:val="23"/>
              </w:rPr>
            </w:pPr>
          </w:p>
        </w:tc>
        <w:tc>
          <w:tcPr>
            <w:tcW w:w="2800"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任务二</w:t>
            </w:r>
          </w:p>
        </w:tc>
        <w:tc>
          <w:tcPr>
            <w:tcW w:w="764"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2</w:t>
            </w:r>
            <w:r>
              <w:rPr>
                <w:rFonts w:ascii="Times New Roman" w:hAnsi="Times New Roman" w:eastAsia="仿宋" w:cs="Times New Roman"/>
                <w:color w:val="auto"/>
                <w:spacing w:val="-1"/>
                <w:sz w:val="23"/>
                <w:szCs w:val="23"/>
              </w:rPr>
              <w:t>0</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722" w:type="dxa"/>
            <w:gridSpan w:val="2"/>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二维码数量</w:t>
            </w:r>
            <w:r>
              <w:rPr>
                <w:rFonts w:hint="eastAsia" w:ascii="Times New Roman" w:hAnsi="Times New Roman" w:eastAsia="仿宋" w:cs="Times New Roman"/>
                <w:color w:val="auto"/>
                <w:spacing w:val="-1"/>
                <w:sz w:val="23"/>
                <w:szCs w:val="23"/>
              </w:rPr>
              <w:t>(6</w:t>
            </w:r>
            <w:r>
              <w:rPr>
                <w:rFonts w:ascii="Times New Roman" w:hAnsi="Times New Roman" w:eastAsia="仿宋" w:cs="Times New Roman"/>
                <w:color w:val="auto"/>
                <w:spacing w:val="-1"/>
                <w:sz w:val="23"/>
                <w:szCs w:val="23"/>
              </w:rPr>
              <w:t>个</w:t>
            </w:r>
            <w:r>
              <w:rPr>
                <w:rFonts w:hint="eastAsia" w:ascii="Times New Roman" w:hAnsi="Times New Roman" w:eastAsia="仿宋" w:cs="Times New Roman"/>
                <w:color w:val="auto"/>
                <w:spacing w:val="-1"/>
                <w:sz w:val="23"/>
                <w:szCs w:val="23"/>
              </w:rPr>
              <w:t>)</w:t>
            </w:r>
            <w:r>
              <w:rPr>
                <w:rFonts w:ascii="Times New Roman" w:hAnsi="Times New Roman" w:eastAsia="仿宋" w:cs="Times New Roman"/>
                <w:color w:val="auto"/>
                <w:spacing w:val="-1"/>
                <w:sz w:val="23"/>
                <w:szCs w:val="23"/>
              </w:rPr>
              <w:t>每</w:t>
            </w:r>
            <w:r>
              <w:rPr>
                <w:rFonts w:hint="eastAsia" w:ascii="Times New Roman" w:hAnsi="Times New Roman" w:eastAsia="仿宋" w:cs="Times New Roman"/>
                <w:color w:val="auto"/>
                <w:spacing w:val="-1"/>
                <w:sz w:val="23"/>
                <w:szCs w:val="23"/>
              </w:rPr>
              <w:t>多用</w:t>
            </w:r>
            <w:r>
              <w:rPr>
                <w:rFonts w:ascii="Times New Roman" w:hAnsi="Times New Roman" w:eastAsia="仿宋" w:cs="Times New Roman"/>
                <w:color w:val="auto"/>
                <w:spacing w:val="-1"/>
                <w:sz w:val="23"/>
                <w:szCs w:val="23"/>
              </w:rPr>
              <w:t>一个</w:t>
            </w:r>
            <w:r>
              <w:rPr>
                <w:rFonts w:hint="eastAsia" w:ascii="Times New Roman" w:hAnsi="Times New Roman" w:eastAsia="仿宋" w:cs="Times New Roman"/>
                <w:color w:val="auto"/>
                <w:spacing w:val="-1"/>
                <w:sz w:val="23"/>
                <w:szCs w:val="23"/>
              </w:rPr>
              <w:t>减2</w:t>
            </w:r>
            <w:r>
              <w:rPr>
                <w:rFonts w:ascii="Times New Roman" w:hAnsi="Times New Roman" w:eastAsia="仿宋" w:cs="Times New Roman"/>
                <w:color w:val="auto"/>
                <w:spacing w:val="-1"/>
                <w:sz w:val="23"/>
                <w:szCs w:val="23"/>
              </w:rPr>
              <w:t>0分</w:t>
            </w:r>
          </w:p>
        </w:tc>
        <w:tc>
          <w:tcPr>
            <w:tcW w:w="764" w:type="dxa"/>
          </w:tcPr>
          <w:p>
            <w:pPr>
              <w:spacing w:before="220"/>
              <w:jc w:val="center"/>
              <w:rPr>
                <w:rFonts w:ascii="Times New Roman" w:hAnsi="Times New Roman" w:eastAsia="仿宋" w:cs="Times New Roman"/>
                <w:color w:val="auto"/>
                <w:spacing w:val="-1"/>
                <w:sz w:val="23"/>
                <w:szCs w:val="23"/>
              </w:rPr>
            </w:pPr>
            <w:r>
              <w:rPr>
                <w:rFonts w:hint="eastAsia" w:ascii="Times New Roman" w:hAnsi="Times New Roman" w:eastAsia="仿宋" w:cs="Times New Roman"/>
                <w:color w:val="auto"/>
                <w:spacing w:val="-1"/>
                <w:sz w:val="23"/>
                <w:szCs w:val="23"/>
              </w:rPr>
              <w:t>-2</w:t>
            </w:r>
            <w:r>
              <w:rPr>
                <w:rFonts w:ascii="Times New Roman" w:hAnsi="Times New Roman" w:eastAsia="仿宋" w:cs="Times New Roman"/>
                <w:color w:val="auto"/>
                <w:spacing w:val="-1"/>
                <w:sz w:val="23"/>
                <w:szCs w:val="23"/>
              </w:rPr>
              <w:t>0/个</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722" w:type="dxa"/>
            <w:gridSpan w:val="2"/>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坠机（不超过</w:t>
            </w:r>
            <w:r>
              <w:rPr>
                <w:rFonts w:hint="eastAsia" w:ascii="Times New Roman" w:hAnsi="Times New Roman" w:eastAsia="仿宋" w:cs="Times New Roman"/>
                <w:color w:val="auto"/>
                <w:spacing w:val="-1"/>
                <w:sz w:val="23"/>
                <w:szCs w:val="23"/>
              </w:rPr>
              <w:t>2</w:t>
            </w:r>
            <w:r>
              <w:rPr>
                <w:rFonts w:ascii="Times New Roman" w:hAnsi="Times New Roman" w:eastAsia="仿宋" w:cs="Times New Roman"/>
                <w:color w:val="auto"/>
                <w:spacing w:val="-1"/>
                <w:sz w:val="23"/>
                <w:szCs w:val="23"/>
              </w:rPr>
              <w:t>次）</w:t>
            </w:r>
          </w:p>
        </w:tc>
        <w:tc>
          <w:tcPr>
            <w:tcW w:w="764" w:type="dxa"/>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w:t>
            </w:r>
            <w:r>
              <w:rPr>
                <w:rFonts w:hint="eastAsia" w:ascii="Times New Roman" w:hAnsi="Times New Roman" w:eastAsia="仿宋" w:cs="Times New Roman"/>
                <w:color w:val="auto"/>
                <w:spacing w:val="-1"/>
                <w:sz w:val="23"/>
                <w:szCs w:val="23"/>
              </w:rPr>
              <w:t>10/次</w:t>
            </w:r>
          </w:p>
        </w:tc>
        <w:tc>
          <w:tcPr>
            <w:tcW w:w="1164" w:type="dxa"/>
          </w:tcPr>
          <w:p>
            <w:pPr>
              <w:spacing w:before="220"/>
              <w:jc w:val="center"/>
              <w:rPr>
                <w:rFonts w:ascii="Times New Roman" w:hAnsi="Times New Roman" w:eastAsia="仿宋" w:cs="Times New Roman"/>
                <w:color w:val="auto"/>
                <w:spacing w:val="-1"/>
                <w:sz w:val="23"/>
                <w:szCs w:val="23"/>
              </w:rPr>
            </w:pPr>
          </w:p>
        </w:tc>
        <w:tc>
          <w:tcPr>
            <w:tcW w:w="844" w:type="dxa"/>
          </w:tcPr>
          <w:p>
            <w:pPr>
              <w:spacing w:before="220"/>
              <w:jc w:val="center"/>
              <w:rPr>
                <w:rFonts w:ascii="Times New Roman" w:hAnsi="Times New Roman" w:eastAsia="仿宋" w:cs="Times New Roman"/>
                <w:color w:val="auto"/>
                <w:spacing w:val="-1"/>
                <w:sz w:val="23"/>
                <w:szCs w:val="23"/>
              </w:rPr>
            </w:pPr>
          </w:p>
        </w:tc>
        <w:tc>
          <w:tcPr>
            <w:tcW w:w="1123" w:type="dxa"/>
          </w:tcPr>
          <w:p>
            <w:pPr>
              <w:spacing w:before="220"/>
              <w:jc w:val="center"/>
              <w:rPr>
                <w:rFonts w:ascii="Times New Roman" w:hAnsi="Times New Roman" w:eastAsia="仿宋" w:cs="Times New Roman"/>
                <w:color w:val="auto"/>
                <w:spacing w:val="-1"/>
                <w:sz w:val="23"/>
                <w:szCs w:val="23"/>
              </w:rPr>
            </w:pPr>
          </w:p>
        </w:tc>
        <w:tc>
          <w:tcPr>
            <w:tcW w:w="885" w:type="dxa"/>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4486" w:type="dxa"/>
            <w:gridSpan w:val="3"/>
            <w:vAlign w:val="center"/>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单轮得分</w:t>
            </w:r>
          </w:p>
        </w:tc>
        <w:tc>
          <w:tcPr>
            <w:tcW w:w="2008" w:type="dxa"/>
            <w:gridSpan w:val="2"/>
          </w:tcPr>
          <w:p>
            <w:pPr>
              <w:spacing w:before="220"/>
              <w:jc w:val="center"/>
              <w:rPr>
                <w:rFonts w:ascii="Times New Roman" w:hAnsi="Times New Roman" w:eastAsia="仿宋" w:cs="Times New Roman"/>
                <w:color w:val="auto"/>
                <w:spacing w:val="-1"/>
                <w:sz w:val="23"/>
                <w:szCs w:val="23"/>
              </w:rPr>
            </w:pPr>
          </w:p>
        </w:tc>
        <w:tc>
          <w:tcPr>
            <w:tcW w:w="2008" w:type="dxa"/>
            <w:gridSpan w:val="2"/>
          </w:tcPr>
          <w:p>
            <w:pPr>
              <w:spacing w:before="220"/>
              <w:jc w:val="center"/>
              <w:rPr>
                <w:rFonts w:ascii="Times New Roman" w:hAnsi="Times New Roman" w:eastAsia="仿宋" w:cs="Times New Roman"/>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486" w:type="dxa"/>
            <w:gridSpan w:val="3"/>
            <w:vAlign w:val="center"/>
          </w:tcPr>
          <w:p>
            <w:pPr>
              <w:spacing w:before="220"/>
              <w:jc w:val="center"/>
              <w:rPr>
                <w:rFonts w:ascii="Times New Roman" w:hAnsi="Times New Roman" w:eastAsia="仿宋" w:cs="Times New Roman"/>
                <w:color w:val="auto"/>
                <w:spacing w:val="-1"/>
                <w:sz w:val="23"/>
                <w:szCs w:val="23"/>
              </w:rPr>
            </w:pPr>
            <w:r>
              <w:rPr>
                <w:rFonts w:ascii="Times New Roman" w:hAnsi="Times New Roman" w:eastAsia="仿宋" w:cs="Times New Roman"/>
                <w:color w:val="auto"/>
                <w:spacing w:val="-1"/>
                <w:sz w:val="23"/>
                <w:szCs w:val="23"/>
              </w:rPr>
              <w:t>单轮用时</w:t>
            </w:r>
          </w:p>
        </w:tc>
        <w:tc>
          <w:tcPr>
            <w:tcW w:w="2008" w:type="dxa"/>
            <w:gridSpan w:val="2"/>
          </w:tcPr>
          <w:p>
            <w:pPr>
              <w:spacing w:before="220"/>
              <w:jc w:val="center"/>
              <w:rPr>
                <w:rFonts w:ascii="Times New Roman" w:hAnsi="Times New Roman" w:eastAsia="仿宋" w:cs="Times New Roman"/>
                <w:color w:val="auto"/>
                <w:spacing w:val="-1"/>
                <w:sz w:val="23"/>
                <w:szCs w:val="23"/>
              </w:rPr>
            </w:pPr>
          </w:p>
        </w:tc>
        <w:tc>
          <w:tcPr>
            <w:tcW w:w="2008" w:type="dxa"/>
            <w:gridSpan w:val="2"/>
          </w:tcPr>
          <w:p>
            <w:pPr>
              <w:spacing w:before="220"/>
              <w:jc w:val="center"/>
              <w:rPr>
                <w:rFonts w:ascii="Times New Roman" w:hAnsi="Times New Roman" w:eastAsia="仿宋" w:cs="Times New Roman"/>
                <w:color w:val="auto"/>
                <w:spacing w:val="-1"/>
                <w:sz w:val="23"/>
                <w:szCs w:val="23"/>
              </w:rPr>
            </w:pPr>
          </w:p>
        </w:tc>
      </w:tr>
    </w:tbl>
    <w:p>
      <w:pPr>
        <w:spacing w:line="360" w:lineRule="auto"/>
        <w:rPr>
          <w:rFonts w:ascii="Times New Roman" w:hAnsi="Times New Roman" w:eastAsia="仿宋" w:cs="Times New Roman"/>
          <w:color w:val="auto"/>
          <w:spacing w:val="10"/>
          <w:sz w:val="23"/>
          <w:szCs w:val="23"/>
        </w:rPr>
      </w:pPr>
    </w:p>
    <w:p>
      <w:pPr>
        <w:spacing w:before="75" w:line="360" w:lineRule="auto"/>
        <w:rPr>
          <w:rFonts w:ascii="Times New Roman" w:hAnsi="Times New Roman" w:eastAsia="仿宋" w:cs="Times New Roman"/>
          <w:color w:val="auto"/>
          <w:spacing w:val="5"/>
          <w:sz w:val="23"/>
          <w:szCs w:val="23"/>
          <w:u w:val="single"/>
        </w:rPr>
      </w:pPr>
      <w:r>
        <w:rPr>
          <w:rFonts w:ascii="Times New Roman" w:hAnsi="Times New Roman" w:eastAsia="仿宋" w:cs="Times New Roman"/>
          <w:color w:val="auto"/>
          <w:spacing w:val="10"/>
          <w:sz w:val="23"/>
          <w:szCs w:val="23"/>
        </w:rPr>
        <w:t>参赛选手</w:t>
      </w:r>
      <w:r>
        <w:rPr>
          <w:rFonts w:ascii="Times New Roman" w:hAnsi="Times New Roman" w:eastAsia="仿宋" w:cs="Times New Roman"/>
          <w:color w:val="auto"/>
          <w:spacing w:val="5"/>
          <w:sz w:val="23"/>
          <w:szCs w:val="23"/>
        </w:rPr>
        <w:t>签字：</w:t>
      </w:r>
      <w:r>
        <w:rPr>
          <w:rFonts w:ascii="Times New Roman" w:hAnsi="Times New Roman" w:eastAsia="仿宋" w:cs="Times New Roman"/>
          <w:color w:val="auto"/>
          <w:spacing w:val="5"/>
          <w:sz w:val="23"/>
          <w:szCs w:val="23"/>
          <w:u w:val="single"/>
        </w:rPr>
        <w:t xml:space="preserve">                       </w:t>
      </w:r>
      <w:r>
        <w:rPr>
          <w:rFonts w:ascii="Times New Roman" w:hAnsi="Times New Roman" w:eastAsia="仿宋" w:cs="Times New Roman"/>
          <w:color w:val="auto"/>
          <w:spacing w:val="5"/>
          <w:sz w:val="23"/>
          <w:szCs w:val="23"/>
        </w:rPr>
        <w:t>裁判员签字：</w:t>
      </w:r>
      <w:r>
        <w:rPr>
          <w:rFonts w:ascii="Times New Roman" w:hAnsi="Times New Roman" w:eastAsia="仿宋" w:cs="Times New Roman"/>
          <w:color w:val="auto"/>
          <w:spacing w:val="5"/>
          <w:sz w:val="23"/>
          <w:szCs w:val="23"/>
          <w:u w:val="single"/>
        </w:rPr>
        <w:t xml:space="preserve">                        </w:t>
      </w:r>
    </w:p>
    <w:p>
      <w:pPr>
        <w:spacing w:before="75" w:line="360" w:lineRule="auto"/>
        <w:rPr>
          <w:rFonts w:ascii="Times New Roman" w:hAnsi="Times New Roman" w:eastAsia="仿宋" w:cs="Times New Roman"/>
          <w:color w:val="auto"/>
          <w:spacing w:val="7"/>
          <w:sz w:val="23"/>
          <w:szCs w:val="23"/>
        </w:rPr>
      </w:pPr>
    </w:p>
    <w:p>
      <w:pPr>
        <w:spacing w:line="360" w:lineRule="auto"/>
        <w:rPr>
          <w:rFonts w:ascii="Times New Roman" w:hAnsi="Times New Roman" w:eastAsia="仿宋" w:cs="Times New Roman"/>
          <w:color w:val="auto"/>
          <w:sz w:val="23"/>
          <w:szCs w:val="23"/>
          <w:u w:val="single"/>
        </w:rPr>
      </w:pPr>
      <w:r>
        <w:rPr>
          <w:rFonts w:ascii="Times New Roman" w:hAnsi="Times New Roman" w:eastAsia="仿宋" w:cs="Times New Roman"/>
          <w:color w:val="auto"/>
          <w:spacing w:val="7"/>
          <w:sz w:val="23"/>
          <w:szCs w:val="23"/>
        </w:rPr>
        <w:t>取消参赛资格原因：</w:t>
      </w:r>
      <w:r>
        <w:rPr>
          <w:rFonts w:ascii="Times New Roman" w:hAnsi="Times New Roman" w:eastAsia="仿宋" w:cs="Times New Roman"/>
          <w:color w:val="auto"/>
          <w:spacing w:val="7"/>
          <w:sz w:val="23"/>
          <w:szCs w:val="23"/>
          <w:u w:val="single"/>
        </w:rPr>
        <w:t xml:space="preserve">                                              </w:t>
      </w:r>
    </w:p>
    <w:sectPr>
      <w:footerReference r:id="rId4" w:type="default"/>
      <w:pgSz w:w="11906" w:h="16838"/>
      <w:pgMar w:top="2098" w:right="1531" w:bottom="170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080"/>
      <w:rPr>
        <w:rFonts w:hint="eastAsia"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xOTBhMjZhZTEyZWY1ODU1ODBjNzY3ZTUzNDFiYTEifQ=="/>
    <w:docVar w:name="KSO_WPS_MARK_KEY" w:val="21a6a271-2397-4ec4-b537-ed5c3ccb940b"/>
  </w:docVars>
  <w:rsids>
    <w:rsidRoot w:val="3B1F7EBC"/>
    <w:rsid w:val="00014A7A"/>
    <w:rsid w:val="00027414"/>
    <w:rsid w:val="000752B3"/>
    <w:rsid w:val="00097467"/>
    <w:rsid w:val="000B148F"/>
    <w:rsid w:val="000B774D"/>
    <w:rsid w:val="000D1A35"/>
    <w:rsid w:val="00104601"/>
    <w:rsid w:val="00104E42"/>
    <w:rsid w:val="00111C76"/>
    <w:rsid w:val="00167B1F"/>
    <w:rsid w:val="001707BD"/>
    <w:rsid w:val="00184E17"/>
    <w:rsid w:val="001A5684"/>
    <w:rsid w:val="001B1E16"/>
    <w:rsid w:val="001E06F7"/>
    <w:rsid w:val="00246947"/>
    <w:rsid w:val="002515A9"/>
    <w:rsid w:val="00293859"/>
    <w:rsid w:val="002966E0"/>
    <w:rsid w:val="00310DD9"/>
    <w:rsid w:val="0031198C"/>
    <w:rsid w:val="00315DFD"/>
    <w:rsid w:val="003C0136"/>
    <w:rsid w:val="003C1C50"/>
    <w:rsid w:val="00502D84"/>
    <w:rsid w:val="00516980"/>
    <w:rsid w:val="00577D38"/>
    <w:rsid w:val="00584E3C"/>
    <w:rsid w:val="0062479A"/>
    <w:rsid w:val="006905DF"/>
    <w:rsid w:val="006D2085"/>
    <w:rsid w:val="007112CF"/>
    <w:rsid w:val="00755ADE"/>
    <w:rsid w:val="00773177"/>
    <w:rsid w:val="00792A84"/>
    <w:rsid w:val="007D153D"/>
    <w:rsid w:val="007F0FAE"/>
    <w:rsid w:val="007F20BC"/>
    <w:rsid w:val="007F4DF4"/>
    <w:rsid w:val="007F4E9E"/>
    <w:rsid w:val="00801A09"/>
    <w:rsid w:val="00820EEC"/>
    <w:rsid w:val="00842288"/>
    <w:rsid w:val="00842D69"/>
    <w:rsid w:val="00877C4C"/>
    <w:rsid w:val="00881818"/>
    <w:rsid w:val="008C6B1A"/>
    <w:rsid w:val="008D3B1B"/>
    <w:rsid w:val="008E0CE4"/>
    <w:rsid w:val="009264AE"/>
    <w:rsid w:val="00942746"/>
    <w:rsid w:val="00953451"/>
    <w:rsid w:val="0095488B"/>
    <w:rsid w:val="009671F1"/>
    <w:rsid w:val="009D1EAC"/>
    <w:rsid w:val="009F62DB"/>
    <w:rsid w:val="00A109A7"/>
    <w:rsid w:val="00A30E68"/>
    <w:rsid w:val="00A505D1"/>
    <w:rsid w:val="00A6514E"/>
    <w:rsid w:val="00AC7AE4"/>
    <w:rsid w:val="00B44D01"/>
    <w:rsid w:val="00B54571"/>
    <w:rsid w:val="00B55CA6"/>
    <w:rsid w:val="00B74284"/>
    <w:rsid w:val="00B8534E"/>
    <w:rsid w:val="00B85353"/>
    <w:rsid w:val="00BD0862"/>
    <w:rsid w:val="00C3449A"/>
    <w:rsid w:val="00C71035"/>
    <w:rsid w:val="00CD560D"/>
    <w:rsid w:val="00D91115"/>
    <w:rsid w:val="00D92FEC"/>
    <w:rsid w:val="00DC620C"/>
    <w:rsid w:val="00DD7385"/>
    <w:rsid w:val="00DF26BD"/>
    <w:rsid w:val="00E43C99"/>
    <w:rsid w:val="00E60879"/>
    <w:rsid w:val="00EF16E3"/>
    <w:rsid w:val="00EF23AD"/>
    <w:rsid w:val="00F03B47"/>
    <w:rsid w:val="00F17B34"/>
    <w:rsid w:val="00F20056"/>
    <w:rsid w:val="00F32F32"/>
    <w:rsid w:val="00F42EB6"/>
    <w:rsid w:val="00F875C4"/>
    <w:rsid w:val="00FA5036"/>
    <w:rsid w:val="00FC1A97"/>
    <w:rsid w:val="00FD1D62"/>
    <w:rsid w:val="00FF1C7C"/>
    <w:rsid w:val="036A1510"/>
    <w:rsid w:val="03924E90"/>
    <w:rsid w:val="04607502"/>
    <w:rsid w:val="052634B7"/>
    <w:rsid w:val="053E51D0"/>
    <w:rsid w:val="054E43AD"/>
    <w:rsid w:val="05945916"/>
    <w:rsid w:val="07BC546D"/>
    <w:rsid w:val="08E70149"/>
    <w:rsid w:val="0C5D06DC"/>
    <w:rsid w:val="0CA74680"/>
    <w:rsid w:val="0D527004"/>
    <w:rsid w:val="0DA60EB7"/>
    <w:rsid w:val="0E107399"/>
    <w:rsid w:val="0F7A3F00"/>
    <w:rsid w:val="0FF00FEF"/>
    <w:rsid w:val="10E9286E"/>
    <w:rsid w:val="126E3ED8"/>
    <w:rsid w:val="12BE3CE4"/>
    <w:rsid w:val="17880070"/>
    <w:rsid w:val="193A1432"/>
    <w:rsid w:val="19E1100D"/>
    <w:rsid w:val="1A7F18ED"/>
    <w:rsid w:val="1B1A3739"/>
    <w:rsid w:val="1B60576A"/>
    <w:rsid w:val="1B8F5B60"/>
    <w:rsid w:val="1BA809D0"/>
    <w:rsid w:val="1BB611FE"/>
    <w:rsid w:val="1DC9750A"/>
    <w:rsid w:val="1E604489"/>
    <w:rsid w:val="1F7450C0"/>
    <w:rsid w:val="1FD53BDB"/>
    <w:rsid w:val="213621C6"/>
    <w:rsid w:val="229314BA"/>
    <w:rsid w:val="22D30A28"/>
    <w:rsid w:val="23F32F2D"/>
    <w:rsid w:val="24236FC5"/>
    <w:rsid w:val="24746583"/>
    <w:rsid w:val="24C148B0"/>
    <w:rsid w:val="2A95613E"/>
    <w:rsid w:val="2B1D5F1F"/>
    <w:rsid w:val="2CDA29B3"/>
    <w:rsid w:val="2D9E1882"/>
    <w:rsid w:val="2F780CC7"/>
    <w:rsid w:val="2F9C1D1E"/>
    <w:rsid w:val="32C02951"/>
    <w:rsid w:val="33CD5321"/>
    <w:rsid w:val="37AA079A"/>
    <w:rsid w:val="3A026F03"/>
    <w:rsid w:val="3AC147E7"/>
    <w:rsid w:val="3AF26768"/>
    <w:rsid w:val="3B1F7EBC"/>
    <w:rsid w:val="3CAF3A28"/>
    <w:rsid w:val="3DD66326"/>
    <w:rsid w:val="3E3220AF"/>
    <w:rsid w:val="3E3A59A8"/>
    <w:rsid w:val="3EB71D86"/>
    <w:rsid w:val="3FDF3CD8"/>
    <w:rsid w:val="408111EC"/>
    <w:rsid w:val="40953D12"/>
    <w:rsid w:val="41E55C2A"/>
    <w:rsid w:val="4234667A"/>
    <w:rsid w:val="47C60EC4"/>
    <w:rsid w:val="4A314103"/>
    <w:rsid w:val="4AF1568F"/>
    <w:rsid w:val="4C4A4DDA"/>
    <w:rsid w:val="4D7D140D"/>
    <w:rsid w:val="4E601984"/>
    <w:rsid w:val="4F617A7D"/>
    <w:rsid w:val="50A15412"/>
    <w:rsid w:val="53037C39"/>
    <w:rsid w:val="54A730EF"/>
    <w:rsid w:val="55865CAB"/>
    <w:rsid w:val="55E4364E"/>
    <w:rsid w:val="56934B29"/>
    <w:rsid w:val="57ED7866"/>
    <w:rsid w:val="58F54694"/>
    <w:rsid w:val="599164BB"/>
    <w:rsid w:val="5C0C4088"/>
    <w:rsid w:val="5CEC7AEA"/>
    <w:rsid w:val="5D553B61"/>
    <w:rsid w:val="5F922AF6"/>
    <w:rsid w:val="60270446"/>
    <w:rsid w:val="61CE145F"/>
    <w:rsid w:val="62076CF2"/>
    <w:rsid w:val="625C21E8"/>
    <w:rsid w:val="65330321"/>
    <w:rsid w:val="65C6174B"/>
    <w:rsid w:val="676128DD"/>
    <w:rsid w:val="68E91679"/>
    <w:rsid w:val="69F745C9"/>
    <w:rsid w:val="6A7410E0"/>
    <w:rsid w:val="6AB9187F"/>
    <w:rsid w:val="6E226BE1"/>
    <w:rsid w:val="6F502086"/>
    <w:rsid w:val="74AB2749"/>
    <w:rsid w:val="74F040EF"/>
    <w:rsid w:val="7568637B"/>
    <w:rsid w:val="76563385"/>
    <w:rsid w:val="7AB930EC"/>
    <w:rsid w:val="7B503B39"/>
    <w:rsid w:val="7D5C2632"/>
    <w:rsid w:val="7D77436F"/>
    <w:rsid w:val="7EDE37B3"/>
    <w:rsid w:val="7F721BA4"/>
    <w:rsid w:val="7FA53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style>
  <w:style w:type="paragraph" w:styleId="3">
    <w:name w:val="Body Text"/>
    <w:basedOn w:val="1"/>
    <w:qFormat/>
    <w:uiPriority w:val="1"/>
    <w:pPr>
      <w:ind w:left="640"/>
    </w:pPr>
    <w:rPr>
      <w:sz w:val="24"/>
      <w:szCs w:val="24"/>
    </w:r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6">
    <w:name w:val="Normal (Web)"/>
    <w:basedOn w:val="1"/>
    <w:qFormat/>
    <w:uiPriority w:val="0"/>
    <w:pPr>
      <w:spacing w:beforeAutospacing="1" w:afterAutospacing="1"/>
    </w:pPr>
    <w:rPr>
      <w:rFonts w:cs="Times New Roman"/>
      <w:sz w:val="24"/>
    </w:rPr>
  </w:style>
  <w:style w:type="character" w:styleId="9">
    <w:name w:val="annotation reference"/>
    <w:basedOn w:val="8"/>
    <w:uiPriority w:val="0"/>
    <w:rPr>
      <w:sz w:val="21"/>
      <w:szCs w:val="21"/>
    </w:rPr>
  </w:style>
  <w:style w:type="paragraph" w:styleId="10">
    <w:name w:val="List Paragraph"/>
    <w:basedOn w:val="1"/>
    <w:qFormat/>
    <w:uiPriority w:val="1"/>
    <w:pPr>
      <w:ind w:left="640" w:firstLine="420"/>
    </w:p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2B315-13A1-4A0A-812A-7C575C8EE79C}">
  <ds:schemaRefs/>
</ds:datastoreItem>
</file>

<file path=docProps/app.xml><?xml version="1.0" encoding="utf-8"?>
<Properties xmlns="http://schemas.openxmlformats.org/officeDocument/2006/extended-properties" xmlns:vt="http://schemas.openxmlformats.org/officeDocument/2006/docPropsVTypes">
  <Template>Normal</Template>
  <Pages>18</Pages>
  <Words>5574</Words>
  <Characters>5865</Characters>
  <Lines>45</Lines>
  <Paragraphs>12</Paragraphs>
  <TotalTime>1</TotalTime>
  <ScaleCrop>false</ScaleCrop>
  <LinksUpToDate>false</LinksUpToDate>
  <CharactersWithSpaces>6123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2025-11-27T11:12:00Z</dcterms:created>
  <dc:creator>ROBOT  XWORLD</dc:creator>
  <cp:lastModifiedBy>姚丽影</cp:lastModifiedBy>
  <cp:lastPrinted>2023-01-06T15:42:00Z</cp:lastPrinted>
  <dcterms:modified xsi:type="dcterms:W3CDTF">2026-03-19T08:01:35Z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B062C3B3C4EF460ABA5BF749C20FEDAE_13</vt:lpwstr>
  </property>
  <property fmtid="{D5CDD505-2E9C-101B-9397-08002B2CF9AE}" pid="4" name="KSOTemplateDocerSaveRecord">
    <vt:lpwstr>eyJoZGlkIjoiMjUxZTQyZDNmZjlhNjllNTk0ZmNjMDZhOWMwNmY3NTkiLCJ1c2VySWQiOiIxMjEwMTI1NDUxIn0=</vt:lpwstr>
  </property>
</Properties>
</file>