
<file path=[Content_Types].xml><?xml version="1.0" encoding="utf-8"?>
<Types xmlns="http://schemas.openxmlformats.org/package/2006/content-types">
  <Default Extension="xml" ContentType="application/xml"/>
  <Default Extension="wmf" ContentType="image/x-wmf"/>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5" Type="http://schemas.openxmlformats.org/officeDocument/2006/relationships/officeDocument" Target="word/document.xml"/><Relationship Id="rId1" Type="http://schemas.openxmlformats.org/package/2006/relationships/metadata/thumbnail" Target="docProps/thumbnail.wmf"/><Relationship Id="rId3" Type="http://schemas.openxmlformats.org/package/2006/relationships/metadata/core-properties" Target="docProps/core.xml"/><Relationship Id="rId2"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spacing w:line="560" w:lineRule="exact"/>
        <w:jc w:val="center"/>
        <w:rPr>
          <w:rFonts w:hint="eastAsia" w:ascii="Times New Roman" w:hAnsi="Times New Roman" w:eastAsia="黑体" w:cs="Times New Roman"/>
          <w:color w:val="auto"/>
          <w:spacing w:val="31"/>
          <w:sz w:val="52"/>
          <w:szCs w:val="52"/>
          <w:lang w:eastAsia="zh-CN"/>
        </w:rPr>
      </w:pPr>
      <w:bookmarkStart w:id="0" w:name="_bookmark1"/>
      <w:bookmarkEnd w:id="0"/>
      <w:r>
        <w:rPr>
          <w:rFonts w:hint="eastAsia" w:ascii="Times New Roman" w:hAnsi="Times New Roman" w:eastAsia="黑体" w:cs="Times New Roman"/>
          <w:color w:val="auto"/>
          <w:spacing w:val="31"/>
          <w:sz w:val="52"/>
          <w:szCs w:val="52"/>
          <w:lang w:eastAsia="zh-CN"/>
        </w:rPr>
        <w:t>2026年</w:t>
      </w:r>
      <w:r>
        <w:rPr>
          <w:rFonts w:hint="eastAsia" w:ascii="Times New Roman" w:hAnsi="Times New Roman" w:eastAsia="黑体" w:cs="Times New Roman"/>
          <w:color w:val="auto"/>
          <w:spacing w:val="31"/>
          <w:sz w:val="52"/>
          <w:szCs w:val="52"/>
          <w:lang w:val="en-US" w:eastAsia="zh-CN"/>
        </w:rPr>
        <w:t>苏州市</w:t>
      </w:r>
    </w:p>
    <w:p>
      <w:pPr>
        <w:spacing w:line="560" w:lineRule="exact"/>
        <w:jc w:val="center"/>
        <w:rPr>
          <w:rFonts w:hint="default" w:ascii="Times New Roman" w:hAnsi="Times New Roman" w:eastAsia="黑体" w:cs="Times New Roman"/>
          <w:color w:val="auto"/>
          <w:spacing w:val="31"/>
          <w:sz w:val="52"/>
          <w:szCs w:val="52"/>
          <w:lang w:val="en-US" w:eastAsia="zh-CN"/>
        </w:rPr>
      </w:pPr>
      <w:r>
        <w:rPr>
          <w:rFonts w:hint="eastAsia" w:ascii="Times New Roman" w:hAnsi="Times New Roman" w:eastAsia="黑体" w:cs="Times New Roman"/>
          <w:color w:val="auto"/>
          <w:spacing w:val="31"/>
          <w:sz w:val="52"/>
          <w:szCs w:val="52"/>
          <w:lang w:eastAsia="zh-CN"/>
        </w:rPr>
        <w:t>中小学生</w:t>
      </w:r>
      <w:r>
        <w:rPr>
          <w:rFonts w:hint="eastAsia" w:ascii="Times New Roman" w:hAnsi="Times New Roman" w:eastAsia="黑体" w:cs="Times New Roman"/>
          <w:color w:val="auto"/>
          <w:spacing w:val="31"/>
          <w:sz w:val="52"/>
          <w:szCs w:val="52"/>
          <w:lang w:val="en-US" w:eastAsia="zh-CN"/>
        </w:rPr>
        <w:t>人工智能素养大赛</w:t>
      </w:r>
    </w:p>
    <w:p>
      <w:pPr>
        <w:spacing w:line="360" w:lineRule="auto"/>
        <w:jc w:val="center"/>
        <w:rPr>
          <w:rFonts w:hint="eastAsia" w:ascii="仿宋" w:hAnsi="仿宋" w:eastAsia="仿宋" w:cs="仿宋"/>
          <w:color w:val="auto"/>
          <w:sz w:val="56"/>
          <w:szCs w:val="96"/>
        </w:rPr>
      </w:pPr>
    </w:p>
    <w:p>
      <w:pPr>
        <w:jc w:val="center"/>
        <w:rPr>
          <w:rFonts w:hint="eastAsia" w:ascii="仿宋" w:hAnsi="仿宋" w:eastAsia="仿宋" w:cs="仿宋"/>
          <w:color w:val="auto"/>
          <w:sz w:val="44"/>
          <w:szCs w:val="44"/>
        </w:rPr>
      </w:pPr>
      <w:r>
        <w:rPr>
          <w:rFonts w:hint="eastAsia" w:ascii="黑体" w:hAnsi="黑体" w:eastAsia="黑体" w:cs="黑体"/>
          <w:color w:val="auto"/>
          <w:sz w:val="44"/>
          <w:szCs w:val="44"/>
        </w:rPr>
        <w:t>智能机器人——智达天空</w:t>
      </w:r>
    </w:p>
    <w:p>
      <w:pPr>
        <w:jc w:val="center"/>
        <w:rPr>
          <w:rFonts w:hint="eastAsia" w:ascii="仿宋" w:hAnsi="仿宋" w:eastAsia="仿宋" w:cs="仿宋"/>
          <w:color w:val="auto"/>
          <w:sz w:val="48"/>
          <w:szCs w:val="56"/>
        </w:rPr>
      </w:pPr>
    </w:p>
    <w:p>
      <w:pPr>
        <w:jc w:val="center"/>
        <w:rPr>
          <w:rFonts w:hint="eastAsia" w:ascii="仿宋" w:hAnsi="仿宋" w:eastAsia="仿宋" w:cs="仿宋"/>
          <w:color w:val="auto"/>
          <w:sz w:val="52"/>
          <w:szCs w:val="52"/>
        </w:rPr>
      </w:pPr>
    </w:p>
    <w:p>
      <w:pPr>
        <w:spacing w:line="560" w:lineRule="exact"/>
        <w:jc w:val="center"/>
        <w:rPr>
          <w:rFonts w:hint="eastAsia" w:ascii="Times New Roman" w:hAnsi="Times New Roman" w:eastAsia="黑体" w:cs="Times New Roman"/>
          <w:color w:val="auto"/>
          <w:spacing w:val="31"/>
          <w:sz w:val="52"/>
          <w:szCs w:val="52"/>
          <w:lang w:val="en-US" w:eastAsia="zh-CN"/>
        </w:rPr>
      </w:pPr>
      <w:r>
        <w:rPr>
          <w:rFonts w:hint="eastAsia" w:ascii="Times New Roman" w:hAnsi="Times New Roman" w:eastAsia="黑体" w:cs="Times New Roman"/>
          <w:color w:val="auto"/>
          <w:spacing w:val="31"/>
          <w:sz w:val="52"/>
          <w:szCs w:val="52"/>
          <w:lang w:val="en-US" w:eastAsia="zh-CN"/>
        </w:rPr>
        <w:t>规</w:t>
      </w:r>
    </w:p>
    <w:p>
      <w:pPr>
        <w:spacing w:line="560" w:lineRule="exact"/>
        <w:jc w:val="center"/>
        <w:rPr>
          <w:rFonts w:hint="eastAsia" w:ascii="Times New Roman" w:hAnsi="Times New Roman" w:eastAsia="黑体" w:cs="Times New Roman"/>
          <w:color w:val="auto"/>
          <w:spacing w:val="31"/>
          <w:sz w:val="52"/>
          <w:szCs w:val="52"/>
          <w:lang w:val="en-US" w:eastAsia="zh-CN"/>
        </w:rPr>
      </w:pPr>
    </w:p>
    <w:p>
      <w:pPr>
        <w:spacing w:line="560" w:lineRule="exact"/>
        <w:jc w:val="center"/>
        <w:rPr>
          <w:rFonts w:hint="eastAsia" w:ascii="Times New Roman" w:hAnsi="Times New Roman" w:eastAsia="黑体" w:cs="Times New Roman"/>
          <w:color w:val="auto"/>
          <w:spacing w:val="31"/>
          <w:sz w:val="52"/>
          <w:szCs w:val="52"/>
          <w:lang w:val="en-US" w:eastAsia="zh-CN"/>
        </w:rPr>
      </w:pPr>
      <w:r>
        <w:rPr>
          <w:rFonts w:hint="eastAsia" w:ascii="Times New Roman" w:hAnsi="Times New Roman" w:eastAsia="黑体" w:cs="Times New Roman"/>
          <w:color w:val="auto"/>
          <w:spacing w:val="31"/>
          <w:sz w:val="52"/>
          <w:szCs w:val="52"/>
          <w:lang w:val="en-US" w:eastAsia="zh-CN"/>
        </w:rPr>
        <w:t>则</w:t>
      </w:r>
    </w:p>
    <w:p>
      <w:pPr>
        <w:widowControl w:val="0"/>
        <w:kinsoku/>
        <w:autoSpaceDE/>
        <w:autoSpaceDN/>
        <w:adjustRightInd/>
        <w:snapToGrid/>
        <w:spacing w:line="360" w:lineRule="auto"/>
        <w:jc w:val="center"/>
        <w:textAlignment w:val="auto"/>
        <w:rPr>
          <w:rFonts w:hint="eastAsia" w:ascii="仿宋" w:hAnsi="仿宋" w:eastAsia="仿宋" w:cs="仿宋"/>
          <w:color w:val="auto"/>
          <w:sz w:val="44"/>
          <w:szCs w:val="52"/>
          <w:lang w:val="en-US" w:eastAsia="zh-CN"/>
        </w:rPr>
      </w:pPr>
    </w:p>
    <w:p>
      <w:pPr>
        <w:widowControl w:val="0"/>
        <w:kinsoku/>
        <w:autoSpaceDE/>
        <w:autoSpaceDN/>
        <w:adjustRightInd/>
        <w:snapToGrid/>
        <w:spacing w:line="360" w:lineRule="auto"/>
        <w:jc w:val="center"/>
        <w:textAlignment w:val="auto"/>
        <w:rPr>
          <w:rFonts w:hint="eastAsia" w:ascii="仿宋" w:hAnsi="仿宋" w:eastAsia="仿宋" w:cs="仿宋"/>
          <w:color w:val="auto"/>
          <w:sz w:val="44"/>
          <w:szCs w:val="52"/>
          <w:lang w:val="en-US" w:eastAsia="zh-CN"/>
        </w:rPr>
      </w:pPr>
    </w:p>
    <w:p>
      <w:pPr>
        <w:widowControl w:val="0"/>
        <w:kinsoku/>
        <w:autoSpaceDE/>
        <w:autoSpaceDN/>
        <w:adjustRightInd/>
        <w:snapToGrid/>
        <w:spacing w:line="360" w:lineRule="auto"/>
        <w:jc w:val="center"/>
        <w:textAlignment w:val="auto"/>
        <w:rPr>
          <w:rFonts w:hint="eastAsia" w:ascii="仿宋" w:hAnsi="仿宋" w:eastAsia="仿宋" w:cs="仿宋"/>
          <w:color w:val="auto"/>
          <w:sz w:val="44"/>
          <w:szCs w:val="52"/>
          <w:lang w:val="en-US" w:eastAsia="zh-CN"/>
        </w:rPr>
      </w:pPr>
    </w:p>
    <w:p>
      <w:pPr>
        <w:widowControl w:val="0"/>
        <w:kinsoku/>
        <w:autoSpaceDE/>
        <w:autoSpaceDN/>
        <w:adjustRightInd/>
        <w:snapToGrid/>
        <w:spacing w:line="360" w:lineRule="auto"/>
        <w:jc w:val="center"/>
        <w:textAlignment w:val="auto"/>
        <w:rPr>
          <w:rFonts w:hint="eastAsia" w:ascii="黑体" w:hAnsi="黑体" w:eastAsia="黑体" w:cs="黑体"/>
          <w:color w:val="auto"/>
          <w:sz w:val="44"/>
          <w:szCs w:val="44"/>
          <w:lang w:val="en-US" w:eastAsia="zh-CN"/>
        </w:rPr>
      </w:pPr>
      <w:r>
        <w:rPr>
          <w:rFonts w:hint="eastAsia" w:ascii="黑体" w:hAnsi="黑体" w:eastAsia="黑体" w:cs="黑体"/>
          <w:color w:val="auto"/>
          <w:sz w:val="44"/>
          <w:szCs w:val="44"/>
          <w:lang w:val="en-US" w:eastAsia="zh-CN"/>
        </w:rPr>
        <w:t>苏州市电化教育馆</w:t>
      </w:r>
    </w:p>
    <w:p>
      <w:pPr>
        <w:widowControl w:val="0"/>
        <w:kinsoku/>
        <w:autoSpaceDE/>
        <w:autoSpaceDN/>
        <w:adjustRightInd/>
        <w:snapToGrid/>
        <w:spacing w:line="360" w:lineRule="auto"/>
        <w:jc w:val="center"/>
        <w:textAlignment w:val="auto"/>
        <w:rPr>
          <w:rFonts w:hint="eastAsia" w:ascii="黑体" w:hAnsi="黑体" w:eastAsia="黑体" w:cs="黑体"/>
          <w:snapToGrid/>
          <w:color w:val="auto"/>
          <w:kern w:val="2"/>
          <w:sz w:val="40"/>
          <w:szCs w:val="40"/>
        </w:rPr>
        <w:sectPr>
          <w:footerReference r:id="rId3" w:type="default"/>
          <w:pgSz w:w="11910" w:h="16840"/>
          <w:pgMar w:top="2268" w:right="1134" w:bottom="2268" w:left="1134" w:header="0" w:footer="981" w:gutter="0"/>
          <w:pgNumType w:fmt="numberInDash"/>
          <w:cols w:space="0" w:num="1"/>
        </w:sectPr>
      </w:pPr>
      <w:r>
        <w:rPr>
          <w:rFonts w:hint="eastAsia" w:ascii="黑体" w:hAnsi="黑体" w:eastAsia="黑体" w:cs="黑体"/>
          <w:snapToGrid/>
          <w:color w:val="auto"/>
          <w:kern w:val="2"/>
          <w:sz w:val="44"/>
          <w:szCs w:val="44"/>
        </w:rPr>
        <w:t>202</w:t>
      </w:r>
      <w:r>
        <w:rPr>
          <w:rFonts w:hint="eastAsia" w:ascii="黑体" w:hAnsi="黑体" w:eastAsia="黑体" w:cs="黑体"/>
          <w:snapToGrid/>
          <w:color w:val="auto"/>
          <w:kern w:val="2"/>
          <w:sz w:val="44"/>
          <w:szCs w:val="44"/>
          <w:lang w:val="en-US" w:eastAsia="zh-CN"/>
        </w:rPr>
        <w:t>6</w:t>
      </w:r>
      <w:r>
        <w:rPr>
          <w:rFonts w:hint="eastAsia" w:ascii="黑体" w:hAnsi="黑体" w:eastAsia="黑体" w:cs="黑体"/>
          <w:snapToGrid/>
          <w:color w:val="auto"/>
          <w:kern w:val="2"/>
          <w:sz w:val="44"/>
          <w:szCs w:val="44"/>
        </w:rPr>
        <w:t>年</w:t>
      </w:r>
      <w:r>
        <w:rPr>
          <w:rFonts w:hint="eastAsia" w:ascii="黑体" w:hAnsi="黑体" w:eastAsia="黑体" w:cs="黑体"/>
          <w:snapToGrid/>
          <w:color w:val="auto"/>
          <w:kern w:val="2"/>
          <w:sz w:val="44"/>
          <w:szCs w:val="44"/>
          <w:lang w:val="en-US" w:eastAsia="zh-CN"/>
        </w:rPr>
        <w:t>3</w:t>
      </w:r>
      <w:r>
        <w:rPr>
          <w:rFonts w:hint="eastAsia" w:ascii="黑体" w:hAnsi="黑体" w:eastAsia="黑体" w:cs="黑体"/>
          <w:snapToGrid/>
          <w:color w:val="auto"/>
          <w:kern w:val="2"/>
          <w:sz w:val="44"/>
          <w:szCs w:val="44"/>
        </w:rPr>
        <w:t>月</w:t>
      </w:r>
    </w:p>
    <w:p>
      <w:pPr>
        <w:spacing w:line="560" w:lineRule="exact"/>
        <w:ind w:firstLine="803" w:firstLineChars="200"/>
        <w:jc w:val="both"/>
        <w:outlineLvl w:val="0"/>
        <w:rPr>
          <w:rFonts w:hint="eastAsia" w:ascii="仿宋" w:hAnsi="仿宋" w:eastAsia="仿宋" w:cs="仿宋"/>
          <w:b/>
          <w:bCs/>
          <w:color w:val="auto"/>
          <w:sz w:val="40"/>
          <w:szCs w:val="40"/>
        </w:rPr>
      </w:pPr>
      <w:r>
        <w:rPr>
          <w:rFonts w:hint="eastAsia" w:ascii="仿宋" w:hAnsi="仿宋" w:eastAsia="仿宋" w:cs="仿宋"/>
          <w:b/>
          <w:bCs/>
          <w:color w:val="auto"/>
          <w:sz w:val="40"/>
          <w:szCs w:val="40"/>
        </w:rPr>
        <w:t>一、机器人界定</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1.</w:t>
      </w:r>
      <w:r>
        <w:rPr>
          <w:rFonts w:hint="eastAsia" w:ascii="仿宋" w:hAnsi="仿宋" w:eastAsia="仿宋" w:cs="仿宋"/>
          <w:sz w:val="32"/>
          <w:szCs w:val="32"/>
        </w:rPr>
        <w:t xml:space="preserve"> </w:t>
      </w:r>
      <w:r>
        <w:rPr>
          <w:rFonts w:hint="eastAsia" w:ascii="仿宋" w:hAnsi="仿宋" w:eastAsia="仿宋" w:cs="仿宋"/>
          <w:color w:val="auto"/>
          <w:spacing w:val="-2"/>
          <w:sz w:val="32"/>
          <w:szCs w:val="32"/>
        </w:rPr>
        <w:t>每支队伍限用1台机器人，机器人在启动区内的最大尺寸为长400mm宽400mm高400mm。离开启动区后，机器人可以自由伸展，长宽尺寸不限，但高度全程不得大于400mm。</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2.每台机器人主体部分只允许使用1个主控器，输入输出端口（含电机口）需为RJ11接口，端口数量不多于 16 个。机器人控制器应内置电源，不得连接外部电源，电源电压不超过8.4V。</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3.每台机器人最多只能使用8个电机（含舵机）。当电机用于驱动轮时，只允许单个电机独立驱动单个着地的轮子。驱动轮（含轮胎）直径不得大于70mm。电机最大尺寸不得大于长70mm宽50mm高30mm，8.4V电压下电机转速不得高于250转每分钟。</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4.机器人允许使用的传感器类型及数量不限。机器人使用的传感器必须安装在安全独立的塑料外壳内。</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5.遥控机器人时只允许使用无线遥控手柄的方式进行，仅限蓝牙及2.4g两种。</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6.机器人必须使用塑料积木件搭建，不得使用螺丝、螺钉、铆钉、胶水、胶带等辅助连接材料。可部分使用橡皮筋、扎带作为收集装置的辅助材料。如有需要可使用3D打印件，数量不超过4件，包容每个3D打印件的最小正方形体积不超过10000mm³。</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7.竞赛所需机器人、笔记本电脑、各种零配件、调试工具等由学生自行准备并一次性带至比赛现场，在比赛结束之前不得带出场馆。不得携带U盘、光盘、无线路由器、相机等存储和通信器材。</w:t>
      </w:r>
    </w:p>
    <w:p>
      <w:pPr>
        <w:widowControl w:val="0"/>
        <w:spacing w:line="480" w:lineRule="exact"/>
        <w:ind w:firstLine="592"/>
        <w:jc w:val="both"/>
        <w:rPr>
          <w:rFonts w:hint="eastAsia" w:ascii="仿宋" w:hAnsi="仿宋" w:eastAsia="仿宋" w:cs="仿宋"/>
          <w:color w:val="auto"/>
          <w:spacing w:val="-2"/>
          <w:sz w:val="32"/>
          <w:szCs w:val="32"/>
        </w:rPr>
      </w:pPr>
      <w:r>
        <w:rPr>
          <w:rFonts w:hint="eastAsia" w:ascii="仿宋" w:hAnsi="仿宋" w:eastAsia="仿宋" w:cs="仿宋"/>
          <w:color w:val="auto"/>
          <w:spacing w:val="-2"/>
          <w:sz w:val="32"/>
          <w:szCs w:val="32"/>
        </w:rPr>
        <w:t>8.参与队伍进入比赛场地时，机器人可整机入场，但需确保符合项目要求。队伍应对不符合规定的地方立即进行修整改进，在裁判允许后方可参加比赛。</w:t>
      </w:r>
    </w:p>
    <w:p>
      <w:pPr>
        <w:spacing w:line="560" w:lineRule="exact"/>
        <w:ind w:firstLine="803" w:firstLineChars="200"/>
        <w:jc w:val="both"/>
        <w:outlineLvl w:val="0"/>
        <w:rPr>
          <w:rFonts w:hint="eastAsia" w:ascii="仿宋" w:hAnsi="仿宋" w:eastAsia="仿宋" w:cs="仿宋"/>
          <w:b/>
          <w:bCs/>
          <w:color w:val="auto"/>
          <w:sz w:val="40"/>
          <w:szCs w:val="40"/>
        </w:rPr>
      </w:pPr>
      <w:r>
        <w:rPr>
          <w:rFonts w:hint="eastAsia" w:ascii="仿宋" w:hAnsi="仿宋" w:eastAsia="仿宋" w:cs="仿宋"/>
          <w:b/>
          <w:bCs/>
          <w:color w:val="auto"/>
          <w:sz w:val="40"/>
          <w:szCs w:val="40"/>
        </w:rPr>
        <w:t>二、场地与环境</w:t>
      </w:r>
      <w:bookmarkStart w:id="1" w:name="3.1__场地构成"/>
      <w:bookmarkEnd w:id="1"/>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（一）场地</w:t>
      </w:r>
    </w:p>
    <w:p>
      <w:pPr>
        <w:ind w:firstLine="640"/>
        <w:jc w:val="both"/>
        <w:rPr>
          <w:rFonts w:hint="eastAsia" w:ascii="仿宋" w:hAnsi="仿宋" w:eastAsia="仿宋" w:cs="仿宋"/>
          <w:sz w:val="32"/>
          <w:szCs w:val="32"/>
        </w:rPr>
      </w:pPr>
      <w:r>
        <w:rPr>
          <w:rFonts w:hint="eastAsia" w:ascii="仿宋" w:hAnsi="仿宋" w:eastAsia="仿宋" w:cs="仿宋"/>
          <w:color w:val="auto"/>
          <w:sz w:val="32"/>
          <w:szCs w:val="32"/>
        </w:rPr>
        <w:t>完整任务场地由相同的两个基础场地组成，完整任务场地外边长3000mm、宽2400mm，如图1所示。场地由塑料部件拼接而成。部件包括边长约300mm厚约10mm的方形大底板、长约150mm高约70mm厚约50mm的挡板及外边长约75mm高约70mm厚约50mm的转角，如图2。场地图为彩色喷绘地图铺设于底板上。两个基础场地内分别包含2个启动区（包含外框线</w:t>
      </w:r>
      <w:r>
        <w:rPr>
          <w:rFonts w:hint="eastAsia" w:ascii="仿宋" w:hAnsi="仿宋" w:eastAsia="仿宋" w:cs="仿宋"/>
          <w:sz w:val="32"/>
          <w:szCs w:val="32"/>
        </w:rPr>
        <w:t>边长约400mm的标准正方形区域，分别标注有字母A和B</w:t>
      </w:r>
      <w:r>
        <w:rPr>
          <w:rFonts w:hint="eastAsia" w:ascii="仿宋" w:hAnsi="仿宋" w:eastAsia="仿宋" w:cs="仿宋"/>
          <w:color w:val="auto"/>
          <w:sz w:val="32"/>
          <w:szCs w:val="32"/>
        </w:rPr>
        <w:t>）和5个功能区，如图3，各功能区根据任务要求放置对应的任务模型</w:t>
      </w:r>
      <w:r>
        <w:rPr>
          <w:rFonts w:hint="eastAsia" w:ascii="仿宋" w:hAnsi="仿宋" w:eastAsia="仿宋" w:cs="仿宋"/>
          <w:sz w:val="32"/>
          <w:szCs w:val="32"/>
        </w:rPr>
        <w:t>。</w:t>
      </w:r>
    </w:p>
    <w:p>
      <w:pPr>
        <w:jc w:val="center"/>
        <w:rPr>
          <w:rFonts w:hint="eastAsia" w:ascii="仿宋" w:hAnsi="仿宋" w:eastAsia="仿宋" w:cs="仿宋"/>
          <w:color w:val="auto"/>
          <w:spacing w:val="-10"/>
          <w:sz w:val="24"/>
          <w:szCs w:val="24"/>
        </w:rPr>
      </w:pPr>
      <w:r>
        <w:rPr>
          <w:rFonts w:hint="eastAsia" w:ascii="仿宋" w:hAnsi="仿宋" w:eastAsia="仿宋" w:cs="仿宋"/>
          <w:b/>
          <w:bCs/>
          <w:color w:val="auto"/>
          <w:spacing w:val="-8"/>
          <w:sz w:val="30"/>
          <w:szCs w:val="30"/>
        </w:rPr>
        <w:drawing>
          <wp:inline distT="0" distB="0" distL="0" distR="0">
            <wp:extent cx="4006850" cy="3299460"/>
            <wp:effectExtent l="0" t="0" r="6350" b="254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6" cstate="print">
                      <a:extLst>
                        <a:ext uri="{28A0092B-C50C-407E-A947-70E740481C1C}">
                          <a14:useLocalDpi xmlns:a14="http://schemas.microsoft.com/office/drawing/2010/main" val="0"/>
                        </a:ext>
                      </a:extLst>
                    </a:blip>
                    <a:srcRect t="13943" b="2069"/>
                    <a:stretch>
                      <a:fillRect/>
                    </a:stretch>
                  </pic:blipFill>
                  <pic:spPr>
                    <a:xfrm>
                      <a:off x="0" y="0"/>
                      <a:ext cx="4036249" cy="3323615"/>
                    </a:xfrm>
                    <a:prstGeom prst="rect">
                      <a:avLst/>
                    </a:prstGeom>
                    <a:ln>
                      <a:noFill/>
                    </a:ln>
                  </pic:spPr>
                </pic:pic>
              </a:graphicData>
            </a:graphic>
          </wp:inline>
        </w:drawing>
      </w:r>
    </w:p>
    <w:p>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  完整任务场地</w:t>
      </w:r>
      <w:bookmarkStart w:id="2" w:name="OLE_LINK23"/>
      <w:bookmarkStart w:id="3" w:name="OLE_LINK22"/>
      <w:r>
        <w:rPr>
          <w:rFonts w:hint="eastAsia" w:ascii="仿宋" w:hAnsi="仿宋" w:eastAsia="仿宋" w:cs="仿宋"/>
          <w:color w:val="auto"/>
          <w:spacing w:val="-10"/>
          <w:sz w:val="24"/>
          <w:szCs w:val="24"/>
        </w:rPr>
        <w:t>示意图</w:t>
      </w:r>
      <w:bookmarkEnd w:id="2"/>
      <w:bookmarkEnd w:id="3"/>
    </w:p>
    <w:p>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rPr>
        <w:drawing>
          <wp:inline distT="0" distB="0" distL="0" distR="0">
            <wp:extent cx="1985645" cy="949960"/>
            <wp:effectExtent l="0" t="0" r="8255" b="254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7" cstate="print">
                      <a:extLst>
                        <a:ext uri="{28A0092B-C50C-407E-A947-70E740481C1C}">
                          <a14:useLocalDpi xmlns:a14="http://schemas.microsoft.com/office/drawing/2010/main" val="0"/>
                        </a:ext>
                      </a:extLst>
                    </a:blip>
                    <a:srcRect l="45691" t="53491" r="2716" b="2707"/>
                    <a:stretch>
                      <a:fillRect/>
                    </a:stretch>
                  </pic:blipFill>
                  <pic:spPr>
                    <a:xfrm>
                      <a:off x="0" y="0"/>
                      <a:ext cx="1985645" cy="949960"/>
                    </a:xfrm>
                    <a:prstGeom prst="rect">
                      <a:avLst/>
                    </a:prstGeom>
                    <a:ln>
                      <a:noFill/>
                    </a:ln>
                  </pic:spPr>
                </pic:pic>
              </a:graphicData>
            </a:graphic>
          </wp:inline>
        </w:drawing>
      </w:r>
      <w:r>
        <w:rPr>
          <w:rFonts w:hint="eastAsia" w:ascii="仿宋" w:hAnsi="仿宋" w:eastAsia="仿宋" w:cs="仿宋"/>
          <w:color w:val="auto"/>
          <w:spacing w:val="-10"/>
        </w:rPr>
        <w:drawing>
          <wp:inline distT="0" distB="0" distL="0" distR="0">
            <wp:extent cx="3190875" cy="949960"/>
            <wp:effectExtent l="0" t="0" r="9525" b="2540"/>
            <wp:docPr id="23"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pic:cNvPicPr>
                      <a:picLocks noChangeAspect="1"/>
                    </pic:cNvPicPr>
                  </pic:nvPicPr>
                  <pic:blipFill>
                    <a:blip r:embed="rId7" cstate="print">
                      <a:extLst>
                        <a:ext uri="{28A0092B-C50C-407E-A947-70E740481C1C}">
                          <a14:useLocalDpi xmlns:a14="http://schemas.microsoft.com/office/drawing/2010/main" val="0"/>
                        </a:ext>
                      </a:extLst>
                    </a:blip>
                    <a:srcRect l="7424" t="7739" r="14759" b="51157"/>
                    <a:stretch>
                      <a:fillRect/>
                    </a:stretch>
                  </pic:blipFill>
                  <pic:spPr>
                    <a:xfrm>
                      <a:off x="0" y="0"/>
                      <a:ext cx="3190875" cy="949960"/>
                    </a:xfrm>
                    <a:prstGeom prst="rect">
                      <a:avLst/>
                    </a:prstGeom>
                    <a:ln>
                      <a:noFill/>
                    </a:ln>
                  </pic:spPr>
                </pic:pic>
              </a:graphicData>
            </a:graphic>
          </wp:inline>
        </w:drawing>
      </w:r>
    </w:p>
    <w:p>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图2 塑料部件及其尺寸示意图</w:t>
      </w:r>
    </w:p>
    <w:p>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drawing>
          <wp:inline distT="0" distB="0" distL="0" distR="0">
            <wp:extent cx="5422900" cy="3219450"/>
            <wp:effectExtent l="0" t="0" r="0" b="635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8" cstate="print">
                      <a:extLst>
                        <a:ext uri="{28A0092B-C50C-407E-A947-70E740481C1C}">
                          <a14:useLocalDpi xmlns:a14="http://schemas.microsoft.com/office/drawing/2010/main" val="0"/>
                        </a:ext>
                      </a:extLst>
                    </a:blip>
                    <a:stretch>
                      <a:fillRect/>
                    </a:stretch>
                  </pic:blipFill>
                  <pic:spPr>
                    <a:xfrm>
                      <a:off x="0" y="0"/>
                      <a:ext cx="5465084" cy="3244252"/>
                    </a:xfrm>
                    <a:prstGeom prst="rect">
                      <a:avLst/>
                    </a:prstGeom>
                  </pic:spPr>
                </pic:pic>
              </a:graphicData>
            </a:graphic>
          </wp:inline>
        </w:drawing>
      </w:r>
    </w:p>
    <w:p>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图3 基础场地及功能区示意图</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（二）场地、功能区及任务模型</w:t>
      </w:r>
    </w:p>
    <w:p>
      <w:pPr>
        <w:widowControl w:val="0"/>
        <w:spacing w:line="480" w:lineRule="exact"/>
        <w:ind w:firstLine="643"/>
        <w:rPr>
          <w:rFonts w:hint="eastAsia" w:ascii="仿宋" w:hAnsi="仿宋" w:eastAsia="仿宋" w:cs="仿宋"/>
          <w:color w:val="auto"/>
          <w:sz w:val="32"/>
          <w:szCs w:val="32"/>
        </w:rPr>
      </w:pPr>
      <w:r>
        <w:rPr>
          <w:rFonts w:hint="eastAsia" w:ascii="仿宋" w:hAnsi="仿宋" w:eastAsia="仿宋" w:cs="仿宋"/>
          <w:b/>
          <w:bCs/>
          <w:color w:val="auto"/>
          <w:sz w:val="32"/>
          <w:szCs w:val="32"/>
        </w:rPr>
        <w:t>1.种植塔区</w:t>
      </w:r>
      <w:r>
        <w:rPr>
          <w:rFonts w:hint="eastAsia" w:ascii="仿宋" w:hAnsi="仿宋" w:eastAsia="仿宋" w:cs="仿宋"/>
          <w:color w:val="auto"/>
          <w:sz w:val="32"/>
          <w:szCs w:val="32"/>
        </w:rPr>
        <w:t>：</w:t>
      </w:r>
      <w:bookmarkStart w:id="4" w:name="OLE_LINK8"/>
      <w:bookmarkStart w:id="5" w:name="OLE_LINK4"/>
      <w:r>
        <w:rPr>
          <w:rFonts w:hint="eastAsia" w:ascii="仿宋" w:hAnsi="仿宋" w:eastAsia="仿宋" w:cs="仿宋"/>
          <w:color w:val="auto"/>
          <w:sz w:val="32"/>
          <w:szCs w:val="32"/>
        </w:rPr>
        <w:t>每个基础场地</w:t>
      </w:r>
      <w:bookmarkEnd w:id="4"/>
      <w:bookmarkEnd w:id="5"/>
      <w:r>
        <w:rPr>
          <w:rFonts w:hint="eastAsia" w:ascii="仿宋" w:hAnsi="仿宋" w:eastAsia="仿宋" w:cs="仿宋"/>
          <w:color w:val="auto"/>
          <w:sz w:val="32"/>
          <w:szCs w:val="32"/>
        </w:rPr>
        <w:t>中央有种植塔，分底（正方形，边长约370mm，四周有一圈高约50mm的围栏）、中（正八边形，直径≤360mm，绿色稻穗纹）、顶（正八边形，直径≤260mm，红色麦芒纹）三层，中层离地250mm±5，顶层离地500mm±5，顶层放置“五谷宝珠”（黄色球体，直径约90mm，EVA塑料泡沫材质），如图4所示。</w:t>
      </w:r>
    </w:p>
    <w:p>
      <w:pPr>
        <w:widowControl w:val="0"/>
        <w:jc w:val="center"/>
        <w:rPr>
          <w:rFonts w:hint="eastAsia" w:ascii="仿宋" w:hAnsi="仿宋" w:eastAsia="仿宋" w:cs="仿宋"/>
          <w:color w:val="auto"/>
          <w:spacing w:val="-10"/>
          <w:sz w:val="24"/>
          <w:szCs w:val="24"/>
        </w:rPr>
      </w:pPr>
      <w:r>
        <w:rPr>
          <w:rFonts w:hint="eastAsia" w:ascii="仿宋" w:hAnsi="仿宋" w:eastAsia="仿宋" w:cs="仿宋"/>
        </w:rPr>
        <w:drawing>
          <wp:inline distT="0" distB="0" distL="0" distR="0">
            <wp:extent cx="1847850" cy="2115820"/>
            <wp:effectExtent l="0" t="0" r="6350" b="508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9" cstate="print">
                      <a:extLst>
                        <a:ext uri="{28A0092B-C50C-407E-A947-70E740481C1C}">
                          <a14:useLocalDpi xmlns:a14="http://schemas.microsoft.com/office/drawing/2010/main" val="0"/>
                        </a:ext>
                      </a:extLst>
                    </a:blip>
                    <a:stretch>
                      <a:fillRect/>
                    </a:stretch>
                  </pic:blipFill>
                  <pic:spPr>
                    <a:xfrm>
                      <a:off x="0" y="0"/>
                      <a:ext cx="1860236" cy="2130340"/>
                    </a:xfrm>
                    <a:prstGeom prst="rect">
                      <a:avLst/>
                    </a:prstGeom>
                  </pic:spPr>
                </pic:pic>
              </a:graphicData>
            </a:graphic>
          </wp:inline>
        </w:drawing>
      </w:r>
    </w:p>
    <w:p>
      <w:pPr>
        <w:widowControl w:val="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图4  种植塔区及种植塔高度示意图</w:t>
      </w:r>
    </w:p>
    <w:p>
      <w:pPr>
        <w:widowControl w:val="0"/>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2.种子装载区：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场地有两个种子装载区，共放置红色丹稷和绿色青麦种子模型各15个（正方体，边长约50mm，约18g / 个，布面材质）。如图5所示。</w:t>
      </w:r>
    </w:p>
    <w:p>
      <w:pPr>
        <w:widowControl w:val="0"/>
        <w:jc w:val="center"/>
        <w:rPr>
          <w:rFonts w:hint="eastAsia" w:ascii="仿宋" w:hAnsi="仿宋" w:eastAsia="仿宋" w:cs="仿宋"/>
          <w:color w:val="auto"/>
          <w:spacing w:val="-10"/>
          <w:sz w:val="24"/>
          <w:szCs w:val="24"/>
        </w:rPr>
      </w:pPr>
      <w:r>
        <w:rPr>
          <w:rFonts w:hint="eastAsia" w:ascii="仿宋" w:hAnsi="仿宋" w:eastAsia="仿宋" w:cs="仿宋"/>
          <w:w w:val="0"/>
          <w:sz w:val="0"/>
          <w:szCs w:val="0"/>
          <w:u w:color="000000"/>
          <w:shd w:val="clear" w:color="000000" w:fill="000000"/>
          <w:lang w:val="zh-CN" w:bidi="zh-CN"/>
        </w:rPr>
        <w:t xml:space="preserve">  </w:t>
      </w:r>
      <w:r>
        <w:rPr>
          <w:rFonts w:hint="eastAsia" w:ascii="仿宋" w:hAnsi="仿宋" w:eastAsia="仿宋" w:cs="仿宋"/>
          <w:snapToGrid/>
          <w14:ligatures w14:val="standardContextual"/>
        </w:rPr>
        <w:drawing>
          <wp:inline distT="0" distB="0" distL="0" distR="0">
            <wp:extent cx="1494155" cy="1079500"/>
            <wp:effectExtent l="0" t="0" r="4445"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10"/>
                    <a:srcRect l="7108" b="7108"/>
                    <a:stretch>
                      <a:fillRect/>
                    </a:stretch>
                  </pic:blipFill>
                  <pic:spPr>
                    <a:xfrm>
                      <a:off x="0" y="0"/>
                      <a:ext cx="1494322" cy="1080000"/>
                    </a:xfrm>
                    <a:prstGeom prst="rect">
                      <a:avLst/>
                    </a:prstGeom>
                  </pic:spPr>
                </pic:pic>
              </a:graphicData>
            </a:graphic>
          </wp:inline>
        </w:drawing>
      </w:r>
      <w:r>
        <w:rPr>
          <w:rFonts w:hint="eastAsia" w:ascii="仿宋" w:hAnsi="仿宋" w:eastAsia="仿宋" w:cs="仿宋"/>
          <w:snapToGrid/>
          <w14:ligatures w14:val="standardContextual"/>
        </w:rPr>
        <w:drawing>
          <wp:inline distT="0" distB="0" distL="0" distR="0">
            <wp:extent cx="1655445" cy="1079500"/>
            <wp:effectExtent l="0" t="0" r="8255" b="0"/>
            <wp:docPr id="24"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pic:cNvPicPr>
                      <a:picLocks noChangeAspect="1"/>
                    </pic:cNvPicPr>
                  </pic:nvPicPr>
                  <pic:blipFill>
                    <a:blip r:embed="rId11"/>
                    <a:stretch>
                      <a:fillRect/>
                    </a:stretch>
                  </pic:blipFill>
                  <pic:spPr>
                    <a:xfrm>
                      <a:off x="0" y="0"/>
                      <a:ext cx="1656000" cy="1080000"/>
                    </a:xfrm>
                    <a:prstGeom prst="rect">
                      <a:avLst/>
                    </a:prstGeom>
                  </pic:spPr>
                </pic:pic>
              </a:graphicData>
            </a:graphic>
          </wp:inline>
        </w:drawing>
      </w:r>
    </w:p>
    <w:p>
      <w:pPr>
        <w:widowControl w:val="0"/>
        <w:spacing w:line="480" w:lineRule="exact"/>
        <w:ind w:firstLine="2200" w:firstLineChars="1000"/>
        <w:jc w:val="both"/>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5  两个种子装载区及其上放置的种子模型示意图</w:t>
      </w:r>
    </w:p>
    <w:p>
      <w:pPr>
        <w:widowControl w:val="0"/>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3.肥料补给区：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中两个种子装载区中间，设有肥料补给区，</w:t>
      </w:r>
      <w:bookmarkStart w:id="6" w:name="OLE_LINK13"/>
      <w:bookmarkStart w:id="7" w:name="OLE_LINK14"/>
      <w:r>
        <w:rPr>
          <w:rFonts w:hint="eastAsia" w:ascii="仿宋" w:hAnsi="仿宋" w:eastAsia="仿宋" w:cs="仿宋"/>
          <w:color w:val="auto"/>
          <w:spacing w:val="-2"/>
          <w:sz w:val="30"/>
          <w:szCs w:val="30"/>
        </w:rPr>
        <w:t>共放置8个肥料模块（正十二面体，棱边长约等于18毫米mm， EVA塑料泡沫材质）</w:t>
      </w:r>
      <w:bookmarkEnd w:id="6"/>
      <w:bookmarkEnd w:id="7"/>
      <w:r>
        <w:rPr>
          <w:rFonts w:hint="eastAsia" w:ascii="仿宋" w:hAnsi="仿宋" w:eastAsia="仿宋" w:cs="仿宋"/>
          <w:color w:val="auto"/>
          <w:spacing w:val="-2"/>
          <w:sz w:val="30"/>
          <w:szCs w:val="30"/>
        </w:rPr>
        <w:t>。如图6所示。</w:t>
      </w:r>
    </w:p>
    <w:p>
      <w:pPr>
        <w:widowControl w:val="0"/>
        <w:jc w:val="center"/>
        <w:rPr>
          <w:rFonts w:hint="eastAsia" w:ascii="仿宋" w:hAnsi="仿宋" w:eastAsia="仿宋" w:cs="仿宋"/>
          <w:color w:val="auto"/>
          <w:spacing w:val="-2"/>
          <w:sz w:val="30"/>
          <w:szCs w:val="30"/>
        </w:rPr>
      </w:pPr>
      <w:r>
        <w:rPr>
          <w:rFonts w:hint="eastAsia" w:ascii="仿宋" w:hAnsi="仿宋" w:eastAsia="仿宋" w:cs="仿宋"/>
          <w:color w:val="auto"/>
          <w:spacing w:val="-10"/>
          <w:sz w:val="24"/>
          <w:szCs w:val="24"/>
        </w:rPr>
        <w:drawing>
          <wp:inline distT="0" distB="0" distL="0" distR="0">
            <wp:extent cx="2734310" cy="1257300"/>
            <wp:effectExtent l="0" t="0" r="889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pic:cNvPicPr>
                  </pic:nvPicPr>
                  <pic:blipFill>
                    <a:blip r:embed="rId12" cstate="print">
                      <a:extLst>
                        <a:ext uri="{28A0092B-C50C-407E-A947-70E740481C1C}">
                          <a14:useLocalDpi xmlns:a14="http://schemas.microsoft.com/office/drawing/2010/main" val="0"/>
                        </a:ext>
                      </a:extLst>
                    </a:blip>
                    <a:stretch>
                      <a:fillRect/>
                    </a:stretch>
                  </pic:blipFill>
                  <pic:spPr>
                    <a:xfrm>
                      <a:off x="0" y="0"/>
                      <a:ext cx="2742436" cy="1261002"/>
                    </a:xfrm>
                    <a:prstGeom prst="rect">
                      <a:avLst/>
                    </a:prstGeom>
                  </pic:spPr>
                </pic:pic>
              </a:graphicData>
            </a:graphic>
          </wp:inline>
        </w:drawing>
      </w:r>
    </w:p>
    <w:p>
      <w:pPr>
        <w:widowControl w:val="0"/>
        <w:spacing w:line="480" w:lineRule="exact"/>
        <w:ind w:firstLine="2200" w:firstLineChars="1000"/>
        <w:jc w:val="both"/>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6  肥料补给区及其上放置的肥料模块示意图</w:t>
      </w:r>
    </w:p>
    <w:p>
      <w:pPr>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4.作物辨识区：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中有两个作物辨识区，其分别位于两侧启动区前的一段挡板处（从启动区向前依次标记1-6号挡板），现场活动会公布哪一号挡板上放置作物辨识装置。如图7所示。</w:t>
      </w:r>
    </w:p>
    <w:p>
      <w:pPr>
        <w:jc w:val="center"/>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drawing>
          <wp:inline distT="0" distB="0" distL="0" distR="0">
            <wp:extent cx="3846195" cy="1250950"/>
            <wp:effectExtent l="0" t="0" r="1905" b="635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noChangeArrowheads="1"/>
                    </pic:cNvPicPr>
                  </pic:nvPicPr>
                  <pic:blipFill>
                    <a:blip r:embed="rId13" cstate="print">
                      <a:extLst>
                        <a:ext uri="{28A0092B-C50C-407E-A947-70E740481C1C}">
                          <a14:useLocalDpi xmlns:a14="http://schemas.microsoft.com/office/drawing/2010/main" val="0"/>
                        </a:ext>
                      </a:extLst>
                    </a:blip>
                    <a:srcRect l="2433" t="12853" r="1687" b="15949"/>
                    <a:stretch>
                      <a:fillRect/>
                    </a:stretch>
                  </pic:blipFill>
                  <pic:spPr>
                    <a:xfrm>
                      <a:off x="0" y="0"/>
                      <a:ext cx="3901353" cy="1269364"/>
                    </a:xfrm>
                    <a:prstGeom prst="rect">
                      <a:avLst/>
                    </a:prstGeom>
                    <a:noFill/>
                    <a:ln>
                      <a:noFill/>
                    </a:ln>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color w:val="auto"/>
          <w:spacing w:val="-2"/>
          <w:sz w:val="30"/>
          <w:szCs w:val="30"/>
        </w:rPr>
        <w:drawing>
          <wp:inline distT="0" distB="0" distL="0" distR="0">
            <wp:extent cx="1518920" cy="1256665"/>
            <wp:effectExtent l="0" t="0" r="5080" b="635"/>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4" cstate="print">
                      <a:extLst>
                        <a:ext uri="{28A0092B-C50C-407E-A947-70E740481C1C}">
                          <a14:useLocalDpi xmlns:a14="http://schemas.microsoft.com/office/drawing/2010/main" val="0"/>
                        </a:ext>
                      </a:extLst>
                    </a:blip>
                    <a:srcRect l="12579" t="2674" r="31614" b="42339"/>
                    <a:stretch>
                      <a:fillRect/>
                    </a:stretch>
                  </pic:blipFill>
                  <pic:spPr>
                    <a:xfrm>
                      <a:off x="0" y="0"/>
                      <a:ext cx="1521099" cy="1258842"/>
                    </a:xfrm>
                    <a:prstGeom prst="rect">
                      <a:avLst/>
                    </a:prstGeom>
                    <a:noFill/>
                    <a:ln>
                      <a:noFill/>
                    </a:ln>
                  </pic:spPr>
                </pic:pic>
              </a:graphicData>
            </a:graphic>
          </wp:inline>
        </w:drawing>
      </w:r>
    </w:p>
    <w:p>
      <w:pPr>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7  作物辨识区挡板编号及2号挡板上放置的作物辨识装置示意图</w:t>
      </w:r>
    </w:p>
    <w:p>
      <w:pPr>
        <w:ind w:firstLine="594"/>
        <w:jc w:val="both"/>
        <w:rPr>
          <w:rFonts w:hint="eastAsia" w:ascii="仿宋" w:hAnsi="仿宋" w:eastAsia="仿宋" w:cs="仿宋"/>
          <w:color w:val="auto"/>
          <w:spacing w:val="-2"/>
          <w:sz w:val="30"/>
          <w:szCs w:val="30"/>
        </w:rPr>
      </w:pPr>
      <w:r>
        <w:rPr>
          <w:rFonts w:hint="eastAsia" w:ascii="仿宋" w:hAnsi="仿宋" w:eastAsia="仿宋" w:cs="仿宋"/>
          <w:b/>
          <w:bCs/>
          <w:color w:val="auto"/>
          <w:spacing w:val="-2"/>
          <w:sz w:val="30"/>
          <w:szCs w:val="30"/>
        </w:rPr>
        <w:t>5.作物分类区：</w:t>
      </w:r>
      <w:r>
        <w:rPr>
          <w:rFonts w:hint="eastAsia" w:ascii="仿宋" w:hAnsi="仿宋" w:eastAsia="仿宋" w:cs="仿宋"/>
          <w:color w:val="auto"/>
          <w:sz w:val="32"/>
          <w:szCs w:val="32"/>
        </w:rPr>
        <w:t>每个基础场地</w:t>
      </w:r>
      <w:r>
        <w:rPr>
          <w:rFonts w:hint="eastAsia" w:ascii="仿宋" w:hAnsi="仿宋" w:eastAsia="仿宋" w:cs="仿宋"/>
          <w:color w:val="auto"/>
          <w:spacing w:val="-2"/>
          <w:sz w:val="30"/>
          <w:szCs w:val="30"/>
        </w:rPr>
        <w:t>中有两个作物分类区，分别摆放</w:t>
      </w:r>
      <w:bookmarkStart w:id="8" w:name="OLE_LINK10"/>
      <w:bookmarkStart w:id="9" w:name="OLE_LINK9"/>
      <w:r>
        <w:rPr>
          <w:rFonts w:hint="eastAsia" w:ascii="仿宋" w:hAnsi="仿宋" w:eastAsia="仿宋" w:cs="仿宋"/>
          <w:color w:val="auto"/>
          <w:spacing w:val="-2"/>
          <w:sz w:val="30"/>
          <w:szCs w:val="30"/>
        </w:rPr>
        <w:t>稻、麦、粟、豆</w:t>
      </w:r>
      <w:bookmarkEnd w:id="8"/>
      <w:bookmarkEnd w:id="9"/>
      <w:r>
        <w:rPr>
          <w:rFonts w:hint="eastAsia" w:ascii="仿宋" w:hAnsi="仿宋" w:eastAsia="仿宋" w:cs="仿宋"/>
          <w:color w:val="auto"/>
          <w:spacing w:val="-2"/>
          <w:sz w:val="30"/>
          <w:szCs w:val="30"/>
        </w:rPr>
        <w:t>四类作物，四类作物的排列顺序现场公布。会以贴纸形式注明，每个贴纸位置分别放置一个黄色作物模型来表明对应的作物类型（正方体，边长约50mm，约18g / 个，布面材质）。三个蓝色的玄菽种子模型（正方体，边长约50mm，约18g / 个，布面材质，若出现该种子模型，则为“艺链农耕”任务完成的额外奖励）。如图8所示。</w:t>
      </w:r>
    </w:p>
    <w:p>
      <w:pPr>
        <w:jc w:val="center"/>
        <w:rPr>
          <w:rFonts w:hint="eastAsia" w:ascii="仿宋" w:hAnsi="仿宋" w:eastAsia="仿宋" w:cs="仿宋"/>
          <w:color w:val="auto"/>
          <w:spacing w:val="-2"/>
          <w:sz w:val="30"/>
          <w:szCs w:val="30"/>
        </w:rPr>
      </w:pPr>
      <w:r>
        <w:rPr>
          <w:rFonts w:hint="eastAsia" w:ascii="仿宋" w:hAnsi="仿宋" w:eastAsia="仿宋" w:cs="仿宋"/>
          <w:color w:val="auto"/>
          <w:sz w:val="30"/>
          <w:szCs w:val="30"/>
        </w:rPr>
        <w:drawing>
          <wp:inline distT="0" distB="0" distL="0" distR="0">
            <wp:extent cx="1682750" cy="1079500"/>
            <wp:effectExtent l="0" t="0" r="6350"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15" cstate="print">
                      <a:extLst>
                        <a:ext uri="{28A0092B-C50C-407E-A947-70E740481C1C}">
                          <a14:useLocalDpi xmlns:a14="http://schemas.microsoft.com/office/drawing/2010/main" val="0"/>
                        </a:ext>
                      </a:extLst>
                    </a:blip>
                    <a:stretch>
                      <a:fillRect/>
                    </a:stretch>
                  </pic:blipFill>
                  <pic:spPr>
                    <a:xfrm>
                      <a:off x="0" y="0"/>
                      <a:ext cx="1682908" cy="1079500"/>
                    </a:xfrm>
                    <a:prstGeom prst="rect">
                      <a:avLst/>
                    </a:prstGeom>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snapToGrid/>
          <w:color w:val="auto"/>
          <w:spacing w:val="-2"/>
          <w:sz w:val="30"/>
          <w:szCs w:val="30"/>
          <w14:ligatures w14:val="standardContextual"/>
        </w:rPr>
        <w:drawing>
          <wp:inline distT="0" distB="0" distL="0" distR="0">
            <wp:extent cx="1877695" cy="1079500"/>
            <wp:effectExtent l="0" t="0" r="1905" b="0"/>
            <wp:docPr id="203017778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0177785" name="图片 1"/>
                    <pic:cNvPicPr>
                      <a:picLocks noChangeAspect="1"/>
                    </pic:cNvPicPr>
                  </pic:nvPicPr>
                  <pic:blipFill>
                    <a:blip r:embed="rId16" cstate="print">
                      <a:extLst>
                        <a:ext uri="{28A0092B-C50C-407E-A947-70E740481C1C}">
                          <a14:useLocalDpi xmlns:a14="http://schemas.microsoft.com/office/drawing/2010/main" val="0"/>
                        </a:ext>
                      </a:extLst>
                    </a:blip>
                    <a:stretch>
                      <a:fillRect/>
                    </a:stretch>
                  </pic:blipFill>
                  <pic:spPr>
                    <a:xfrm>
                      <a:off x="0" y="0"/>
                      <a:ext cx="1877994" cy="1080000"/>
                    </a:xfrm>
                    <a:prstGeom prst="rect">
                      <a:avLst/>
                    </a:prstGeom>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snapToGrid/>
          <w:color w:val="auto"/>
          <w:spacing w:val="-2"/>
          <w:sz w:val="30"/>
          <w:szCs w:val="30"/>
          <w14:ligatures w14:val="standardContextual"/>
        </w:rPr>
        <w:drawing>
          <wp:inline distT="0" distB="0" distL="0" distR="0">
            <wp:extent cx="1760220" cy="1079500"/>
            <wp:effectExtent l="0" t="0" r="5080" b="0"/>
            <wp:docPr id="1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
                    <pic:cNvPicPr>
                      <a:picLocks noChangeAspect="1"/>
                    </pic:cNvPicPr>
                  </pic:nvPicPr>
                  <pic:blipFill>
                    <a:blip r:embed="rId17" cstate="print">
                      <a:extLst>
                        <a:ext uri="{28A0092B-C50C-407E-A947-70E740481C1C}">
                          <a14:useLocalDpi xmlns:a14="http://schemas.microsoft.com/office/drawing/2010/main" val="0"/>
                        </a:ext>
                      </a:extLst>
                    </a:blip>
                    <a:srcRect l="15023" t="17299" r="12606" b="23379"/>
                    <a:stretch>
                      <a:fillRect/>
                    </a:stretch>
                  </pic:blipFill>
                  <pic:spPr>
                    <a:xfrm>
                      <a:off x="0" y="0"/>
                      <a:ext cx="1760548" cy="1080000"/>
                    </a:xfrm>
                    <a:prstGeom prst="rect">
                      <a:avLst/>
                    </a:prstGeom>
                    <a:ln>
                      <a:noFill/>
                    </a:ln>
                  </pic:spPr>
                </pic:pic>
              </a:graphicData>
            </a:graphic>
          </wp:inline>
        </w:drawing>
      </w:r>
    </w:p>
    <w:p>
      <w:pPr>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8  作物分类区及其上放置的作物模型、玄菽种子模型示意图</w:t>
      </w:r>
    </w:p>
    <w:p>
      <w:pPr>
        <w:widowControl w:val="0"/>
        <w:suppressAutoHyphens/>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各任务模型请参考以上示意图，实际场地情况以现场公布为准，比如任务模型的颜色、尺寸、高度可能会有轻微偏差。参与学生应具备根据实际情况应变的能力。</w:t>
      </w:r>
    </w:p>
    <w:p>
      <w:pPr>
        <w:spacing w:line="560" w:lineRule="exact"/>
        <w:ind w:firstLine="640" w:firstLineChars="200"/>
        <w:jc w:val="both"/>
        <w:outlineLvl w:val="0"/>
        <w:rPr>
          <w:rFonts w:hint="eastAsia" w:ascii="仿宋" w:hAnsi="仿宋" w:eastAsia="仿宋" w:cs="仿宋"/>
          <w:color w:val="auto"/>
          <w:sz w:val="32"/>
          <w:szCs w:val="32"/>
        </w:rPr>
      </w:pPr>
    </w:p>
    <w:p>
      <w:pPr>
        <w:spacing w:line="560" w:lineRule="exact"/>
        <w:ind w:firstLine="640" w:firstLineChars="200"/>
        <w:jc w:val="both"/>
        <w:outlineLvl w:val="0"/>
        <w:rPr>
          <w:rFonts w:hint="eastAsia" w:ascii="仿宋" w:hAnsi="仿宋" w:eastAsia="仿宋" w:cs="仿宋"/>
          <w:color w:val="auto"/>
          <w:sz w:val="32"/>
          <w:szCs w:val="32"/>
        </w:rPr>
      </w:pPr>
    </w:p>
    <w:p>
      <w:pPr>
        <w:spacing w:line="560" w:lineRule="exact"/>
        <w:ind w:firstLine="803" w:firstLineChars="200"/>
        <w:jc w:val="both"/>
        <w:outlineLvl w:val="0"/>
        <w:rPr>
          <w:rFonts w:hint="eastAsia" w:ascii="仿宋" w:hAnsi="仿宋" w:eastAsia="仿宋" w:cs="仿宋"/>
          <w:b/>
          <w:bCs/>
          <w:color w:val="auto"/>
          <w:sz w:val="40"/>
          <w:szCs w:val="40"/>
        </w:rPr>
      </w:pPr>
      <w:r>
        <w:rPr>
          <w:rFonts w:hint="eastAsia" w:ascii="仿宋" w:hAnsi="仿宋" w:eastAsia="仿宋" w:cs="仿宋"/>
          <w:b/>
          <w:bCs/>
          <w:color w:val="auto"/>
          <w:sz w:val="40"/>
          <w:szCs w:val="40"/>
        </w:rPr>
        <w:t>三、任务描述</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（一）任务准备</w:t>
      </w:r>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同一组别的所有队伍需现场抽取队伍编号，队伍编号一旦确认，各环节均使用该编号。每支队伍需完成4轮任务，现场将公布任务秩序表，秩序表上将标明每轮任务的协作团队和对方协作团队的队伍编号（每轮协作团队和对方协作团队随机产生且不重复）。每个完整任务场地每轮同时上场4 支队伍，组成 2 个 “协作团队”（如 1号和2号为 “协作团队”，3号和4号为 “协作团队”）。参与队伍需按照队伍编号在对应场地完成任务。</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（二）任务方式</w:t>
      </w:r>
    </w:p>
    <w:p>
      <w:pPr>
        <w:pStyle w:val="11"/>
        <w:widowControl w:val="0"/>
        <w:numPr>
          <w:ilvl w:val="255"/>
          <w:numId w:val="0"/>
        </w:numPr>
        <w:spacing w:line="480" w:lineRule="exact"/>
        <w:ind w:firstLine="55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各队伍通过自动程序及远程遥控两种方式分别完成自动任务和遥控任务，每支队伍每轮场地任务的总时长180秒，其中首先30秒为自动阶段，随后150秒为遥控阶段。</w:t>
      </w:r>
    </w:p>
    <w:p>
      <w:pPr>
        <w:pStyle w:val="11"/>
        <w:widowControl w:val="0"/>
        <w:numPr>
          <w:ilvl w:val="255"/>
          <w:numId w:val="0"/>
        </w:numPr>
        <w:spacing w:line="480" w:lineRule="exact"/>
        <w:ind w:firstLine="552"/>
        <w:jc w:val="both"/>
        <w:rPr>
          <w:rFonts w:hint="eastAsia" w:ascii="仿宋" w:hAnsi="仿宋" w:eastAsia="仿宋" w:cs="仿宋"/>
          <w:color w:val="auto"/>
          <w:spacing w:val="-2"/>
          <w:sz w:val="30"/>
          <w:szCs w:val="30"/>
        </w:rPr>
      </w:pPr>
      <w:bookmarkStart w:id="10" w:name="OLE_LINK15"/>
      <w:bookmarkStart w:id="11" w:name="OLE_LINK19"/>
      <w:bookmarkStart w:id="12" w:name="OLE_LINK16"/>
      <w:r>
        <w:rPr>
          <w:rFonts w:hint="eastAsia" w:ascii="仿宋" w:hAnsi="仿宋" w:eastAsia="仿宋" w:cs="仿宋"/>
          <w:color w:val="auto"/>
          <w:spacing w:val="-2"/>
          <w:sz w:val="30"/>
          <w:szCs w:val="30"/>
        </w:rPr>
        <w:t>自动阶段内机器人必须通过程序自动运行完成场地中的自动任务。自动时长结束后不得接触机器人，听从现场裁判指令开启遥控阶段，遥控阶段开始后方可直接拿起遥控手柄远程切换机器人控制状态，控制机器人移动进行相应遥控任务，遥控时长内应由学生通过无线手柄遥控机器人完成。</w:t>
      </w:r>
    </w:p>
    <w:bookmarkEnd w:id="10"/>
    <w:bookmarkEnd w:id="11"/>
    <w:bookmarkEnd w:id="12"/>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（三）自动任务</w:t>
      </w:r>
    </w:p>
    <w:p>
      <w:pPr>
        <w:pStyle w:val="11"/>
        <w:widowControl w:val="0"/>
        <w:numPr>
          <w:ilvl w:val="255"/>
          <w:numId w:val="0"/>
        </w:numPr>
        <w:spacing w:line="480" w:lineRule="exact"/>
        <w:ind w:firstLine="55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自动任务包括“农耕启行”、“作物辨识”、“艺链农耕”三项内容，需按顺序依次完成。自动任务仅限自动时长内完成。</w:t>
      </w:r>
    </w:p>
    <w:p>
      <w:pPr>
        <w:widowControl w:val="0"/>
        <w:spacing w:line="480" w:lineRule="exact"/>
        <w:ind w:firstLine="594"/>
        <w:jc w:val="both"/>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1.农耕启行</w:t>
      </w:r>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任务内容：机器人从启动区自主出发。</w:t>
      </w:r>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任务过程：任务开始前，机器人应放在启动区中。任务开始后，机器人离开启动区。</w:t>
      </w:r>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任务要求：出发后，每支队伍的机器人在地面的正投影完全在启动区外。完成任务则为本协作团队种植塔增加30能量值。每台机器人只能完成一次本任务。</w:t>
      </w:r>
    </w:p>
    <w:p>
      <w:pPr>
        <w:widowControl w:val="0"/>
        <w:spacing w:line="480" w:lineRule="exact"/>
        <w:ind w:firstLine="594"/>
        <w:jc w:val="both"/>
        <w:outlineLvl w:val="2"/>
        <w:rPr>
          <w:rFonts w:hint="eastAsia" w:ascii="仿宋" w:hAnsi="仿宋" w:eastAsia="仿宋" w:cs="仿宋"/>
          <w:b/>
          <w:bCs/>
          <w:color w:val="auto"/>
          <w:spacing w:val="-2"/>
          <w:sz w:val="30"/>
          <w:szCs w:val="30"/>
        </w:rPr>
      </w:pPr>
      <w:bookmarkStart w:id="13" w:name="OLE_LINK2"/>
      <w:bookmarkStart w:id="14" w:name="OLE_LINK1"/>
      <w:bookmarkStart w:id="15" w:name="OLE_LINK3"/>
      <w:r>
        <w:rPr>
          <w:rFonts w:hint="eastAsia" w:ascii="仿宋" w:hAnsi="仿宋" w:eastAsia="仿宋" w:cs="仿宋"/>
          <w:b/>
          <w:bCs/>
          <w:color w:val="auto"/>
          <w:spacing w:val="-2"/>
          <w:sz w:val="30"/>
          <w:szCs w:val="30"/>
        </w:rPr>
        <w:t>2.作物辨识</w:t>
      </w:r>
      <w:bookmarkEnd w:id="13"/>
      <w:bookmarkEnd w:id="14"/>
      <w:bookmarkEnd w:id="15"/>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任务内容：机器人需模拟匠人辨物，完成对作物类型的AI视觉识别。</w:t>
      </w:r>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任务过程：作物</w:t>
      </w:r>
      <w:bookmarkStart w:id="16" w:name="OLE_LINK6"/>
      <w:r>
        <w:rPr>
          <w:rFonts w:hint="eastAsia" w:ascii="仿宋" w:hAnsi="仿宋" w:eastAsia="仿宋" w:cs="仿宋"/>
          <w:color w:val="auto"/>
          <w:spacing w:val="-2"/>
          <w:sz w:val="30"/>
          <w:szCs w:val="30"/>
        </w:rPr>
        <w:t>辨识</w:t>
      </w:r>
      <w:bookmarkEnd w:id="16"/>
      <w:r>
        <w:rPr>
          <w:rFonts w:hint="eastAsia" w:ascii="仿宋" w:hAnsi="仿宋" w:eastAsia="仿宋" w:cs="仿宋"/>
          <w:color w:val="auto"/>
          <w:spacing w:val="-2"/>
          <w:sz w:val="30"/>
          <w:szCs w:val="30"/>
        </w:rPr>
        <w:t>装置主要由一个带显示屏的感应装置组成。机器人需触发该感应装置（采用NFC技术），显示屏随机显示一个作物标识（稻、麦、粟、豆四类作物标识通过照片、文字或二维码三种方式随机呈现，图9为作物标识的参考图片样式，具体标识在活动现场的调试环节公布）。每支队伍的机器人需识别感应装置显示屏上的作物标识，并在机器人控制器屏幕上显示与感应装置显示屏相同的作物标识，如图10所示。</w:t>
      </w:r>
    </w:p>
    <w:p>
      <w:pPr>
        <w:widowControl w:val="0"/>
        <w:spacing w:line="480" w:lineRule="exact"/>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1）作物辨识装置的显示屏经触发后显示作物标识，完成任务则为本协作团队种植塔增加30能量值；（2）机器人控制器的屏幕清晰显示相同的作物标识直到结束自动任务（以结束时显示状态为准），完成任务则为本协作团队种植塔增加30能量值。</w:t>
      </w:r>
    </w:p>
    <w:p>
      <w:pPr>
        <w:widowControl w:val="0"/>
        <w:jc w:val="center"/>
        <w:rPr>
          <w:rFonts w:hint="eastAsia" w:ascii="仿宋" w:hAnsi="仿宋" w:eastAsia="仿宋" w:cs="仿宋"/>
          <w:color w:val="auto"/>
          <w:spacing w:val="-2"/>
          <w:sz w:val="30"/>
          <w:szCs w:val="30"/>
        </w:rPr>
      </w:pPr>
      <w:r>
        <w:rPr>
          <w:rFonts w:hint="eastAsia" w:ascii="仿宋" w:hAnsi="仿宋" w:eastAsia="仿宋" w:cs="仿宋"/>
        </w:rPr>
        <w:drawing>
          <wp:inline distT="0" distB="0" distL="0" distR="0">
            <wp:extent cx="4227830" cy="3105150"/>
            <wp:effectExtent l="0" t="0" r="1270" b="635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4265617" cy="3133132"/>
                    </a:xfrm>
                    <a:prstGeom prst="rect">
                      <a:avLst/>
                    </a:prstGeom>
                    <a:noFill/>
                    <a:ln>
                      <a:noFill/>
                    </a:ln>
                  </pic:spPr>
                </pic:pic>
              </a:graphicData>
            </a:graphic>
          </wp:inline>
        </w:drawing>
      </w:r>
    </w:p>
    <w:p>
      <w:pPr>
        <w:widowControl w:val="0"/>
        <w:jc w:val="center"/>
        <w:rPr>
          <w:rFonts w:hint="eastAsia" w:ascii="仿宋" w:hAnsi="仿宋" w:eastAsia="仿宋" w:cs="仿宋"/>
          <w:color w:val="auto"/>
          <w:spacing w:val="-2"/>
          <w:sz w:val="30"/>
          <w:szCs w:val="30"/>
        </w:rPr>
      </w:pPr>
      <w:r>
        <w:rPr>
          <w:rFonts w:hint="eastAsia" w:ascii="仿宋" w:hAnsi="仿宋" w:eastAsia="仿宋" w:cs="仿宋"/>
          <w:color w:val="auto"/>
          <w:spacing w:val="-10"/>
          <w:sz w:val="24"/>
          <w:szCs w:val="24"/>
        </w:rPr>
        <w:t>图 9 作物标识的参考图片样式</w:t>
      </w:r>
    </w:p>
    <w:p>
      <w:pPr>
        <w:widowControl w:val="0"/>
        <w:jc w:val="center"/>
        <w:rPr>
          <w:rFonts w:hint="eastAsia" w:ascii="仿宋" w:hAnsi="仿宋" w:eastAsia="仿宋" w:cs="仿宋"/>
          <w:color w:val="auto"/>
          <w:spacing w:val="-2"/>
          <w:sz w:val="30"/>
          <w:szCs w:val="30"/>
        </w:rPr>
      </w:pPr>
      <w:r>
        <w:rPr>
          <w:rFonts w:hint="eastAsia" w:ascii="仿宋" w:hAnsi="仿宋" w:eastAsia="仿宋" w:cs="仿宋"/>
        </w:rPr>
        <w:drawing>
          <wp:inline distT="0" distB="0" distL="0" distR="0">
            <wp:extent cx="1439545" cy="1439545"/>
            <wp:effectExtent l="0" t="0" r="8255" b="8255"/>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pic:cNvPicPr>
                      <a:picLocks noChangeAspect="1" noChangeArrowheads="1"/>
                    </pic:cNvPicPr>
                  </pic:nvPicPr>
                  <pic:blipFill>
                    <a:blip r:embed="rId19" cstate="print">
                      <a:extLst>
                        <a:ext uri="{28A0092B-C50C-407E-A947-70E740481C1C}">
                          <a14:useLocalDpi xmlns:a14="http://schemas.microsoft.com/office/drawing/2010/main" val="0"/>
                        </a:ext>
                      </a:extLst>
                    </a:blip>
                    <a:srcRect l="18921" t="10616" r="24084" b="19370"/>
                    <a:stretch>
                      <a:fillRect/>
                    </a:stretch>
                  </pic:blipFill>
                  <pic:spPr>
                    <a:xfrm>
                      <a:off x="0" y="0"/>
                      <a:ext cx="1440000" cy="1440000"/>
                    </a:xfrm>
                    <a:prstGeom prst="rect">
                      <a:avLst/>
                    </a:prstGeom>
                    <a:noFill/>
                    <a:ln>
                      <a:noFill/>
                    </a:ln>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rPr>
        <w:drawing>
          <wp:inline distT="0" distB="0" distL="0" distR="0">
            <wp:extent cx="1439545" cy="1439545"/>
            <wp:effectExtent l="0" t="0" r="8255" b="8255"/>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pic:cNvPicPr>
                      <a:picLocks noChangeAspect="1" noChangeArrowheads="1"/>
                    </pic:cNvPicPr>
                  </pic:nvPicPr>
                  <pic:blipFill>
                    <a:blip r:embed="rId20" cstate="print">
                      <a:extLst>
                        <a:ext uri="{28A0092B-C50C-407E-A947-70E740481C1C}">
                          <a14:useLocalDpi xmlns:a14="http://schemas.microsoft.com/office/drawing/2010/main" val="0"/>
                        </a:ext>
                      </a:extLst>
                    </a:blip>
                    <a:srcRect l="6857" t="11431" r="6781" b="3425"/>
                    <a:stretch>
                      <a:fillRect/>
                    </a:stretch>
                  </pic:blipFill>
                  <pic:spPr>
                    <a:xfrm>
                      <a:off x="0" y="0"/>
                      <a:ext cx="1440000" cy="1440000"/>
                    </a:xfrm>
                    <a:prstGeom prst="rect">
                      <a:avLst/>
                    </a:prstGeom>
                    <a:noFill/>
                    <a:ln>
                      <a:noFill/>
                    </a:ln>
                  </pic:spPr>
                </pic:pic>
              </a:graphicData>
            </a:graphic>
          </wp:inline>
        </w:drawing>
      </w:r>
      <w:r>
        <w:rPr>
          <w:rFonts w:hint="eastAsia" w:ascii="仿宋" w:hAnsi="仿宋" w:eastAsia="仿宋" w:cs="仿宋"/>
          <w:color w:val="auto"/>
          <w:spacing w:val="-2"/>
          <w:sz w:val="30"/>
          <w:szCs w:val="30"/>
        </w:rPr>
        <w:t xml:space="preserve"> </w:t>
      </w:r>
      <w:r>
        <w:rPr>
          <w:rFonts w:hint="eastAsia" w:ascii="仿宋" w:hAnsi="仿宋" w:eastAsia="仿宋" w:cs="仿宋"/>
        </w:rPr>
        <w:drawing>
          <wp:inline distT="0" distB="0" distL="0" distR="0">
            <wp:extent cx="1033145" cy="1439545"/>
            <wp:effectExtent l="0" t="0" r="8255" b="825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a:xfrm>
                      <a:off x="0" y="0"/>
                      <a:ext cx="1033547" cy="1440000"/>
                    </a:xfrm>
                    <a:prstGeom prst="rect">
                      <a:avLst/>
                    </a:prstGeom>
                    <a:noFill/>
                    <a:ln>
                      <a:noFill/>
                    </a:ln>
                  </pic:spPr>
                </pic:pic>
              </a:graphicData>
            </a:graphic>
          </wp:inline>
        </w:drawing>
      </w:r>
    </w:p>
    <w:p>
      <w:pPr>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10 作物辨识装置显示作物标识及机器人控制器屏幕显示作物标识的示意图</w:t>
      </w:r>
    </w:p>
    <w:p>
      <w:pPr>
        <w:widowControl w:val="0"/>
        <w:spacing w:line="480" w:lineRule="exact"/>
        <w:ind w:firstLine="594"/>
        <w:jc w:val="both"/>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3.艺链农耕</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任务内容：机器人需根据“作物辨识”中识别出的作物类型，将对应类型贴纸处的作物模型投送至种植塔。以此搭建 “识种-取种-投种” 的农耕基础链条。</w:t>
      </w:r>
    </w:p>
    <w:p>
      <w:pPr>
        <w:widowControl w:val="0"/>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任务过程：机器人需根据</w:t>
      </w:r>
      <w:bookmarkStart w:id="17" w:name="OLE_LINK7"/>
      <w:r>
        <w:rPr>
          <w:rFonts w:hint="eastAsia" w:ascii="仿宋" w:hAnsi="仿宋" w:eastAsia="仿宋" w:cs="仿宋"/>
          <w:color w:val="auto"/>
          <w:spacing w:val="-2"/>
          <w:sz w:val="30"/>
          <w:szCs w:val="30"/>
        </w:rPr>
        <w:t>“作物辨识”任务中识别的作物类型</w:t>
      </w:r>
      <w:bookmarkEnd w:id="17"/>
      <w:r>
        <w:rPr>
          <w:rFonts w:hint="eastAsia" w:ascii="仿宋" w:hAnsi="仿宋" w:eastAsia="仿宋" w:cs="仿宋"/>
          <w:color w:val="auto"/>
          <w:spacing w:val="-2"/>
          <w:sz w:val="30"/>
          <w:szCs w:val="30"/>
        </w:rPr>
        <w:t>，将作物分类区中对应类型的作物模型（本协作团队的每支队伍区域内有且仅有一个正确作物模型）投送至本协作团队种植塔。如图11所示，感应装置屏幕上显示稻的作物标识，机器人将作物分类区中稻的贴纸对应的作物模型投送至种植塔的底层区域。</w:t>
      </w:r>
    </w:p>
    <w:p>
      <w:pPr>
        <w:jc w:val="center"/>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drawing>
          <wp:inline distT="0" distB="0" distL="0" distR="0">
            <wp:extent cx="3525520" cy="1905635"/>
            <wp:effectExtent l="0" t="0" r="5080" b="1206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pic:cNvPicPr>
                      <a:picLocks noChangeAspect="1" noChangeArrowheads="1"/>
                    </pic:cNvPicPr>
                  </pic:nvPicPr>
                  <pic:blipFill>
                    <a:blip r:embed="rId22" cstate="print">
                      <a:extLst>
                        <a:ext uri="{28A0092B-C50C-407E-A947-70E740481C1C}">
                          <a14:useLocalDpi xmlns:a14="http://schemas.microsoft.com/office/drawing/2010/main" val="0"/>
                        </a:ext>
                      </a:extLst>
                    </a:blip>
                    <a:srcRect l="9374" r="9157" b="21215"/>
                    <a:stretch>
                      <a:fillRect/>
                    </a:stretch>
                  </pic:blipFill>
                  <pic:spPr>
                    <a:xfrm>
                      <a:off x="0" y="0"/>
                      <a:ext cx="3568478" cy="1928888"/>
                    </a:xfrm>
                    <a:prstGeom prst="rect">
                      <a:avLst/>
                    </a:prstGeom>
                    <a:noFill/>
                    <a:ln>
                      <a:noFill/>
                    </a:ln>
                  </pic:spPr>
                </pic:pic>
              </a:graphicData>
            </a:graphic>
          </wp:inline>
        </w:drawing>
      </w:r>
    </w:p>
    <w:p>
      <w:pPr>
        <w:widowControl w:val="0"/>
        <w:spacing w:line="480" w:lineRule="exact"/>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11 与感应装置对应的作物模型进入种植塔底层示意图</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任务要求：当任务时间结束时，（1）正确作物模型完全离开起始位置，完成任务则为本协作团队种植塔增加30能量值；（2）</w:t>
      </w:r>
      <w:r>
        <w:rPr>
          <w:rFonts w:hint="eastAsia" w:ascii="仿宋" w:hAnsi="仿宋" w:eastAsia="仿宋" w:cs="仿宋"/>
        </w:rPr>
        <w:t>正确</w:t>
      </w:r>
      <w:r>
        <w:rPr>
          <w:rFonts w:hint="eastAsia" w:ascii="仿宋" w:hAnsi="仿宋" w:eastAsia="仿宋" w:cs="仿宋"/>
          <w:color w:val="auto"/>
          <w:spacing w:val="-2"/>
          <w:sz w:val="30"/>
          <w:szCs w:val="30"/>
        </w:rPr>
        <w:t>作物模型垂直投影完全进入底层位置（但不与中层或顶层接触）为本协作团队种植塔增加20能量值；（3）正确作物模型与本协作团队种植塔中层、顶层呈接触状态，分别为本协作团队种植塔对应增加30、40能量值；（4）每支队伍完成（2）或（3）的任务要求，将额外获得3个玄菽种子模型（蓝色）在遥控任务“巧播良种”中使用。</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结束后，全部作物模型（包含进入种植塔的作物模型）由专家收回至场地外不再使用，如额外获得玄菽种子模型，则保留在“作物分类区”供遥控任务“巧播良种”使用。若“五谷宝珠”离开种植塔顶端，则由裁判恢复其初始位置。</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（四）遥控任务</w:t>
      </w:r>
    </w:p>
    <w:p>
      <w:pPr>
        <w:widowControl w:val="0"/>
        <w:ind w:firstLine="592"/>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遥控任务包括“巧播良种”、“巧施肥料”、“五谷丰登”、“归仓休耕”四项内容。遥控任务仅限遥控时长内完成，遥控任务中各协作团队可在规定时间内自行安排任务的完成顺序。</w:t>
      </w: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1.巧播良种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内容：依《天工开物・乃粒》“因时因地制宜”的农耕理念，植物生长需匹配土壤环境：种植塔顶层阳光充足、土地肥沃，适配喜阳喜肥的丹稷；中层土地肥沃、水分充足，适配喜湿喜肥的青麦；底层土地贫瘠，适配耐瘠薄作物。其中玄菽因根系发达、耐逆性强，可适配全层级种植。机器人模拟农人 “辨种适土、精准播种” 的动作，按三种种子特性投至对方协作团队种植塔对应区域。</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过程：需操控机器人前往种子装载区获取一定数量的丹稷或青麦种子模型，并将种子模型投掷到对方协作团队种植塔的不同位置（如在自动任务中获得额外玄菽种子模型，也可前往作物分类区获取玄菽种子模型，并将玄菽种子模型投掷到对方协作团队种植塔）。如图 12 所示是青麦进入中层，丹稷进入顶层，玄菽进入种植塔底、中、顶层的状态。</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任务要求：当任务时间结束时，（1）每个青麦种子模型与对方协作团队种植塔的中层呈接触状态，则为本协作团队种植塔增加20能量值；（2）每个丹稷种子模型与对方协作团队种植塔的顶层呈接触状态，则为本协作团队种植塔增加30能量值；（3）每个玄菽种子模型的垂直投影完全进入对方协作团队种植塔的底层（但不与中层或顶层接触），则为本协作团队种植塔增加20能量值；（4）每个玄菽种子模型与对方协作团队种植塔的中层、顶层呈接触状态，则分别为本协作团队种植塔对应增加30、40能量值；（5）每个丹稷或青麦种子模型的垂直投影完全进入对方协作团队区域内，但未达到任务要求（1）（2）的接触状态，则为本协作团队种植塔增加5能量值；（6）每个玄菽种子模型的垂直投影完全进入对方协作团队区域内，但未达到任务要求（3）（4）的接触状态，则为本协作团队种植塔增加5能量值。</w:t>
      </w:r>
    </w:p>
    <w:p>
      <w:pPr>
        <w:ind w:firstLine="592"/>
        <w:jc w:val="both"/>
        <w:rPr>
          <w:rFonts w:hint="eastAsia" w:ascii="仿宋" w:hAnsi="仿宋" w:eastAsia="仿宋" w:cs="仿宋"/>
          <w:color w:val="auto"/>
          <w:spacing w:val="-2"/>
          <w:sz w:val="30"/>
          <w:szCs w:val="30"/>
        </w:rPr>
      </w:pPr>
    </w:p>
    <w:p>
      <w:pPr>
        <w:jc w:val="center"/>
        <w:rPr>
          <w:rFonts w:hint="eastAsia" w:ascii="仿宋" w:hAnsi="仿宋" w:eastAsia="仿宋" w:cs="仿宋"/>
          <w:color w:val="EE0000"/>
          <w:spacing w:val="-2"/>
          <w:sz w:val="30"/>
          <w:szCs w:val="30"/>
        </w:rPr>
      </w:pPr>
      <w:r>
        <w:rPr>
          <w:rFonts w:hint="eastAsia" w:ascii="仿宋" w:hAnsi="仿宋" w:eastAsia="仿宋" w:cs="仿宋"/>
          <w:color w:val="auto"/>
          <w:sz w:val="30"/>
          <w:szCs w:val="30"/>
        </w:rPr>
        <w:drawing>
          <wp:inline distT="0" distB="0" distL="0" distR="0">
            <wp:extent cx="1409700" cy="1547495"/>
            <wp:effectExtent l="0" t="0" r="0" b="190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pic:cNvPicPr>
                      <a:picLocks noChangeAspect="1" noChangeArrowheads="1"/>
                    </pic:cNvPicPr>
                  </pic:nvPicPr>
                  <pic:blipFill>
                    <a:blip r:embed="rId23" cstate="print">
                      <a:extLst>
                        <a:ext uri="{28A0092B-C50C-407E-A947-70E740481C1C}">
                          <a14:useLocalDpi xmlns:a14="http://schemas.microsoft.com/office/drawing/2010/main" val="0"/>
                        </a:ext>
                      </a:extLst>
                    </a:blip>
                    <a:srcRect t="16441" b="16441"/>
                    <a:stretch>
                      <a:fillRect/>
                    </a:stretch>
                  </pic:blipFill>
                  <pic:spPr>
                    <a:xfrm>
                      <a:off x="0" y="0"/>
                      <a:ext cx="1409924" cy="1548000"/>
                    </a:xfrm>
                    <a:prstGeom prst="rect">
                      <a:avLst/>
                    </a:prstGeom>
                    <a:noFill/>
                    <a:ln>
                      <a:noFill/>
                    </a:ln>
                  </pic:spPr>
                </pic:pic>
              </a:graphicData>
            </a:graphic>
          </wp:inline>
        </w:drawing>
      </w:r>
      <w:r>
        <w:rPr>
          <w:rFonts w:hint="eastAsia" w:ascii="仿宋" w:hAnsi="仿宋" w:eastAsia="仿宋" w:cs="仿宋"/>
          <w:color w:val="EE0000"/>
          <w:spacing w:val="-2"/>
          <w:sz w:val="30"/>
          <w:szCs w:val="30"/>
        </w:rPr>
        <w:t xml:space="preserve"> </w:t>
      </w:r>
      <w:r>
        <w:rPr>
          <w:rFonts w:hint="eastAsia" w:ascii="仿宋" w:hAnsi="仿宋" w:eastAsia="仿宋" w:cs="仿宋"/>
          <w:color w:val="auto"/>
          <w:sz w:val="30"/>
          <w:szCs w:val="30"/>
        </w:rPr>
        <w:drawing>
          <wp:inline distT="0" distB="0" distL="0" distR="0">
            <wp:extent cx="1418590" cy="1547495"/>
            <wp:effectExtent l="0" t="0" r="3810" b="1905"/>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pic:cNvPicPr>
                      <a:picLocks noChangeAspect="1" noChangeArrowheads="1"/>
                    </pic:cNvPicPr>
                  </pic:nvPicPr>
                  <pic:blipFill>
                    <a:blip r:embed="rId24" cstate="print">
                      <a:extLst>
                        <a:ext uri="{28A0092B-C50C-407E-A947-70E740481C1C}">
                          <a14:useLocalDpi xmlns:a14="http://schemas.microsoft.com/office/drawing/2010/main" val="0"/>
                        </a:ext>
                      </a:extLst>
                    </a:blip>
                    <a:srcRect t="774" b="28183"/>
                    <a:stretch>
                      <a:fillRect/>
                    </a:stretch>
                  </pic:blipFill>
                  <pic:spPr>
                    <a:xfrm>
                      <a:off x="0" y="0"/>
                      <a:ext cx="1419049" cy="1548000"/>
                    </a:xfrm>
                    <a:prstGeom prst="rect">
                      <a:avLst/>
                    </a:prstGeom>
                    <a:noFill/>
                    <a:ln>
                      <a:noFill/>
                    </a:ln>
                  </pic:spPr>
                </pic:pic>
              </a:graphicData>
            </a:graphic>
          </wp:inline>
        </w:drawing>
      </w:r>
      <w:r>
        <w:rPr>
          <w:rFonts w:hint="eastAsia" w:ascii="仿宋" w:hAnsi="仿宋" w:eastAsia="仿宋" w:cs="仿宋"/>
          <w:color w:val="EE0000"/>
          <w:spacing w:val="-2"/>
          <w:sz w:val="30"/>
          <w:szCs w:val="30"/>
        </w:rPr>
        <w:t xml:space="preserve"> </w:t>
      </w:r>
      <w:r>
        <w:rPr>
          <w:rFonts w:hint="eastAsia" w:ascii="仿宋" w:hAnsi="仿宋" w:eastAsia="仿宋" w:cs="仿宋"/>
          <w:color w:val="auto"/>
          <w:sz w:val="30"/>
          <w:szCs w:val="30"/>
        </w:rPr>
        <w:drawing>
          <wp:inline distT="0" distB="0" distL="0" distR="0">
            <wp:extent cx="1330960" cy="1547495"/>
            <wp:effectExtent l="0" t="0" r="2540" b="1905"/>
            <wp:docPr id="17"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7"/>
                    <pic:cNvPicPr>
                      <a:picLocks noChangeAspect="1" noChangeArrowheads="1"/>
                    </pic:cNvPicPr>
                  </pic:nvPicPr>
                  <pic:blipFill>
                    <a:blip r:embed="rId25" cstate="print">
                      <a:extLst>
                        <a:ext uri="{28A0092B-C50C-407E-A947-70E740481C1C}">
                          <a14:useLocalDpi xmlns:a14="http://schemas.microsoft.com/office/drawing/2010/main" val="0"/>
                        </a:ext>
                      </a:extLst>
                    </a:blip>
                    <a:srcRect l="668" t="10594" r="-668" b="16463"/>
                    <a:stretch>
                      <a:fillRect/>
                    </a:stretch>
                  </pic:blipFill>
                  <pic:spPr>
                    <a:xfrm>
                      <a:off x="0" y="0"/>
                      <a:ext cx="1331518" cy="1548000"/>
                    </a:xfrm>
                    <a:prstGeom prst="rect">
                      <a:avLst/>
                    </a:prstGeom>
                    <a:noFill/>
                    <a:ln>
                      <a:noFill/>
                    </a:ln>
                  </pic:spPr>
                </pic:pic>
              </a:graphicData>
            </a:graphic>
          </wp:inline>
        </w:drawing>
      </w:r>
    </w:p>
    <w:p>
      <w:pPr>
        <w:widowControl w:val="0"/>
        <w:spacing w:line="480" w:lineRule="exact"/>
        <w:ind w:firstLine="440"/>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12 青麦进入中层、丹稷进入顶层、玄菽进入种植塔底、中、顶层的状态示意图</w:t>
      </w: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2.巧施肥料</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任务内容：“农无水利则不盛，田无肥料则不肥”。机器人需精准投放肥料补给，模拟农耕“依时养护”环节。</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任务过程：机器人需前往肥料补给区获取一定数量的肥料模块，并将肥料模块投送至对方协作团队种植塔。如图13所示是肥料模块进入种植塔底、中、顶层的状态。</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任务要求：当任务时间结束时，</w:t>
      </w:r>
      <w:bookmarkStart w:id="18" w:name="OLE_LINK21"/>
      <w:bookmarkStart w:id="19" w:name="OLE_LINK20"/>
      <w:r>
        <w:rPr>
          <w:rFonts w:hint="eastAsia" w:ascii="仿宋" w:hAnsi="仿宋" w:eastAsia="仿宋" w:cs="仿宋"/>
          <w:color w:val="auto"/>
          <w:sz w:val="30"/>
          <w:szCs w:val="30"/>
        </w:rPr>
        <w:t>（1）肥料模块的垂直投影完全进入对方协作团队种植塔底层（但不与中层或顶层接触），则为本协作团队种植塔增加10能量值；（2）肥料模块与对方协作团队种植塔的中层呈接触状态，则为本协作团队种植塔增加20能量值；（3）肥料模块与对方协作团队种植塔的顶层呈接触状态，则为本协作团队种植塔增加30能量值；（4）若肥料模块的垂直投影完全进入对方协作团队区域内，但未达到任务要求（1）（2）（3）的接触状态，则为本协作团队种植塔增加5能量值。</w:t>
      </w:r>
    </w:p>
    <w:bookmarkEnd w:id="18"/>
    <w:bookmarkEnd w:id="19"/>
    <w:p>
      <w:pPr>
        <w:widowControl w:val="0"/>
        <w:jc w:val="center"/>
        <w:rPr>
          <w:rFonts w:hint="eastAsia" w:ascii="仿宋" w:hAnsi="仿宋" w:eastAsia="仿宋" w:cs="仿宋"/>
          <w:color w:val="auto"/>
          <w:sz w:val="30"/>
          <w:szCs w:val="30"/>
        </w:rPr>
      </w:pPr>
      <w:r>
        <w:rPr>
          <w:rFonts w:hint="eastAsia" w:ascii="仿宋" w:hAnsi="仿宋" w:eastAsia="仿宋" w:cs="仿宋"/>
          <w:color w:val="auto"/>
          <w:spacing w:val="-10"/>
        </w:rPr>
        <w:drawing>
          <wp:inline distT="0" distB="0" distL="0" distR="0">
            <wp:extent cx="1112520" cy="1548130"/>
            <wp:effectExtent l="0" t="0" r="5080" b="127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noChangeArrowheads="1"/>
                    </pic:cNvPicPr>
                  </pic:nvPicPr>
                  <pic:blipFill>
                    <a:blip r:embed="rId26" cstate="print">
                      <a:extLst>
                        <a:ext uri="{28A0092B-C50C-407E-A947-70E740481C1C}">
                          <a14:useLocalDpi xmlns:a14="http://schemas.microsoft.com/office/drawing/2010/main" val="0"/>
                        </a:ext>
                      </a:extLst>
                    </a:blip>
                    <a:stretch>
                      <a:fillRect/>
                    </a:stretch>
                  </pic:blipFill>
                  <pic:spPr>
                    <a:xfrm>
                      <a:off x="0" y="0"/>
                      <a:ext cx="1112659" cy="1548000"/>
                    </a:xfrm>
                    <a:prstGeom prst="rect">
                      <a:avLst/>
                    </a:prstGeom>
                    <a:noFill/>
                    <a:ln>
                      <a:noFill/>
                    </a:ln>
                  </pic:spPr>
                </pic:pic>
              </a:graphicData>
            </a:graphic>
          </wp:inline>
        </w:drawing>
      </w:r>
    </w:p>
    <w:p>
      <w:pPr>
        <w:pStyle w:val="11"/>
        <w:widowControl w:val="0"/>
        <w:spacing w:line="480" w:lineRule="exact"/>
        <w:ind w:firstLine="1320" w:firstLineChars="600"/>
        <w:jc w:val="both"/>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图13  肥料模块进入种植塔底、中、顶层的状态示意图</w:t>
      </w: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3.五谷丰登</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任务内容：《天工开物・乃粒》以“五谷丰登”为农耕终极追求，种植塔顶层的“五谷宝珠”象征粮食丰收的核心结晶，机器人需以精准操作击落宝珠，寓意“夺宝庆丰收”。</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任务过程：机器人使用本协作团队区域内的种子模型、肥料模块，将位于对方团队活动区域种植塔顶端的“五谷宝珠”击落。如图 14所示是 “五谷宝珠”位于种植塔顶层及离开种植塔顶层的状态。</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任务要求：当任务时间结束时，“五谷宝珠”与对方协作团队种植塔顶层不接触，则为本协作团队种植塔增加60能量值。</w:t>
      </w:r>
    </w:p>
    <w:p>
      <w:pPr>
        <w:widowControl w:val="0"/>
        <w:jc w:val="center"/>
        <w:rPr>
          <w:rFonts w:hint="eastAsia" w:ascii="仿宋" w:hAnsi="仿宋" w:eastAsia="仿宋" w:cs="仿宋"/>
          <w:color w:val="auto"/>
          <w:sz w:val="30"/>
          <w:szCs w:val="30"/>
        </w:rPr>
      </w:pPr>
      <w:r>
        <w:rPr>
          <w:rFonts w:hint="eastAsia" w:ascii="仿宋" w:hAnsi="仿宋" w:eastAsia="仿宋" w:cs="仿宋"/>
          <w:color w:val="auto"/>
          <w:sz w:val="32"/>
          <w:szCs w:val="32"/>
        </w:rPr>
        <w:drawing>
          <wp:inline distT="0" distB="0" distL="0" distR="0">
            <wp:extent cx="1459865" cy="2159635"/>
            <wp:effectExtent l="0" t="0" r="635" b="12065"/>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noChangeArrowheads="1"/>
                    </pic:cNvPicPr>
                  </pic:nvPicPr>
                  <pic:blipFill>
                    <a:blip r:embed="rId27" cstate="print">
                      <a:extLst>
                        <a:ext uri="{28A0092B-C50C-407E-A947-70E740481C1C}">
                          <a14:useLocalDpi xmlns:a14="http://schemas.microsoft.com/office/drawing/2010/main" val="0"/>
                        </a:ext>
                      </a:extLst>
                    </a:blip>
                    <a:stretch>
                      <a:fillRect/>
                    </a:stretch>
                  </pic:blipFill>
                  <pic:spPr>
                    <a:xfrm>
                      <a:off x="0" y="0"/>
                      <a:ext cx="1459865" cy="2159635"/>
                    </a:xfrm>
                    <a:prstGeom prst="rect">
                      <a:avLst/>
                    </a:prstGeom>
                    <a:noFill/>
                    <a:ln>
                      <a:noFill/>
                    </a:ln>
                  </pic:spPr>
                </pic:pic>
              </a:graphicData>
            </a:graphic>
          </wp:inline>
        </w:drawing>
      </w:r>
      <w:r>
        <w:rPr>
          <w:rFonts w:hint="eastAsia" w:ascii="仿宋" w:hAnsi="仿宋" w:eastAsia="仿宋" w:cs="仿宋"/>
          <w:color w:val="auto"/>
          <w:sz w:val="30"/>
          <w:szCs w:val="30"/>
        </w:rPr>
        <w:t xml:space="preserve"> </w:t>
      </w:r>
      <w:r>
        <w:rPr>
          <w:rFonts w:hint="eastAsia" w:ascii="仿宋" w:hAnsi="仿宋" w:eastAsia="仿宋" w:cs="仿宋"/>
          <w:color w:val="auto"/>
          <w:sz w:val="32"/>
          <w:szCs w:val="32"/>
        </w:rPr>
        <w:drawing>
          <wp:inline distT="0" distB="0" distL="0" distR="0">
            <wp:extent cx="1934845" cy="2159635"/>
            <wp:effectExtent l="0" t="0" r="8255" b="12065"/>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noChangeArrowheads="1"/>
                    </pic:cNvPicPr>
                  </pic:nvPicPr>
                  <pic:blipFill>
                    <a:blip r:embed="rId28" cstate="print">
                      <a:extLst>
                        <a:ext uri="{28A0092B-C50C-407E-A947-70E740481C1C}">
                          <a14:useLocalDpi xmlns:a14="http://schemas.microsoft.com/office/drawing/2010/main" val="0"/>
                        </a:ext>
                      </a:extLst>
                    </a:blip>
                    <a:stretch>
                      <a:fillRect/>
                    </a:stretch>
                  </pic:blipFill>
                  <pic:spPr>
                    <a:xfrm>
                      <a:off x="0" y="0"/>
                      <a:ext cx="1935029" cy="2160000"/>
                    </a:xfrm>
                    <a:prstGeom prst="rect">
                      <a:avLst/>
                    </a:prstGeom>
                    <a:noFill/>
                    <a:ln>
                      <a:noFill/>
                    </a:ln>
                  </pic:spPr>
                </pic:pic>
              </a:graphicData>
            </a:graphic>
          </wp:inline>
        </w:drawing>
      </w:r>
    </w:p>
    <w:p>
      <w:pPr>
        <w:widowControl w:val="0"/>
        <w:spacing w:line="480" w:lineRule="exact"/>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14 “五谷宝珠”位于种植塔顶层及离开种植塔顶层的状态示意图</w:t>
      </w: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4.归仓休耕</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任务内容：机器人需要返回启动区。</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任务过程：当任务时间结束前，机器人安全返回本协作团队的任一启动区，两台机器人需返回不同的启动区。</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任务要求：每支队伍的机器人任一驱动轮接触启动区，并通过触摸机器人控制器的显示屏显示“归仓休耕”字体（字体的背景及文字颜色在活动现场的调试环节公布），则为本协作团队种植塔增加30能量值。每台机器人只能完成一次本任务。</w:t>
      </w:r>
    </w:p>
    <w:p>
      <w:pPr>
        <w:spacing w:line="560" w:lineRule="exact"/>
        <w:ind w:firstLine="640" w:firstLineChars="200"/>
        <w:jc w:val="both"/>
        <w:rPr>
          <w:rFonts w:hint="eastAsia" w:ascii="仿宋" w:hAnsi="仿宋" w:eastAsia="仿宋" w:cs="仿宋"/>
          <w:sz w:val="32"/>
          <w:szCs w:val="32"/>
        </w:rPr>
      </w:pPr>
    </w:p>
    <w:p>
      <w:pPr>
        <w:spacing w:line="560" w:lineRule="exact"/>
        <w:ind w:firstLine="640" w:firstLineChars="200"/>
        <w:jc w:val="both"/>
        <w:rPr>
          <w:rFonts w:hint="eastAsia" w:ascii="仿宋" w:hAnsi="仿宋" w:eastAsia="仿宋" w:cs="仿宋"/>
          <w:sz w:val="32"/>
          <w:szCs w:val="32"/>
        </w:rPr>
      </w:pPr>
    </w:p>
    <w:p>
      <w:pPr>
        <w:spacing w:line="560" w:lineRule="exact"/>
        <w:ind w:firstLine="803" w:firstLineChars="200"/>
        <w:jc w:val="both"/>
        <w:rPr>
          <w:rFonts w:hint="eastAsia" w:ascii="仿宋" w:hAnsi="仿宋" w:eastAsia="仿宋" w:cs="仿宋"/>
          <w:b/>
          <w:bCs/>
          <w:sz w:val="40"/>
          <w:szCs w:val="40"/>
        </w:rPr>
      </w:pPr>
      <w:r>
        <w:rPr>
          <w:rFonts w:hint="eastAsia" w:ascii="仿宋" w:hAnsi="仿宋" w:eastAsia="仿宋" w:cs="仿宋"/>
          <w:b/>
          <w:bCs/>
          <w:sz w:val="40"/>
          <w:szCs w:val="40"/>
        </w:rPr>
        <w:t>四、比赛</w:t>
      </w:r>
    </w:p>
    <w:p>
      <w:pPr>
        <w:outlineLvl w:val="1"/>
        <w:rPr>
          <w:rFonts w:hint="eastAsia" w:ascii="仿宋" w:hAnsi="仿宋" w:eastAsia="仿宋" w:cs="仿宋"/>
          <w:b/>
          <w:bCs/>
          <w:sz w:val="32"/>
          <w:szCs w:val="32"/>
        </w:rPr>
      </w:pP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 任务秩序表</w:t>
      </w:r>
    </w:p>
    <w:p>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（1）秩序表生成规则</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比赛开始前，组委会将根据小学、初中、高中（中职）各组别的实际有效队伍数量，通过专用软件进行随机编排，生成各组别《现场任务秩序表》。该秩序表将提前完成系统校验，确保每支队伍的协作伙伴与对抗对象均不重复，保障活动公平性与全面性。</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秩序表核心信息包含：</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场次编号：按各组别任务展示流程依次编排唯一场次标识；</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场地编号：明确每轮任务对应的完整任务场地（含两个基础场地）；</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红蓝协作团队配置：每场次对应 2 个 “协作团队”，分别标注为 “红方协作团队”“蓝方协作团队”，每个协作团队由 2 支队伍组成（即每场次 4 支队伍同时上场，2 支为协作伙伴，2 支为对抗对象）；</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队伍编号：清晰列明每场次中红方协作团队 2 支队伍的编号、蓝方协作团队 2 支队伍的编号；</w:t>
      </w:r>
    </w:p>
    <w:p>
      <w:pPr>
        <w:jc w:val="center"/>
        <w:rPr>
          <w:rFonts w:hint="eastAsia" w:ascii="仿宋" w:hAnsi="仿宋" w:eastAsia="仿宋" w:cs="仿宋"/>
          <w:color w:val="auto"/>
          <w:spacing w:val="-2"/>
          <w:sz w:val="30"/>
          <w:szCs w:val="30"/>
        </w:rPr>
      </w:pPr>
      <w:r>
        <w:rPr>
          <w:rFonts w:hint="eastAsia" w:ascii="仿宋" w:hAnsi="仿宋" w:eastAsia="仿宋" w:cs="仿宋"/>
          <w:snapToGrid/>
        </w:rPr>
        <w:drawing>
          <wp:inline distT="0" distB="0" distL="0" distR="0">
            <wp:extent cx="2580640" cy="4597400"/>
            <wp:effectExtent l="0" t="0" r="10160"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pic:cNvPicPr>
                      <a:picLocks noChangeAspect="1"/>
                    </pic:cNvPicPr>
                  </pic:nvPicPr>
                  <pic:blipFill>
                    <a:blip r:embed="rId29"/>
                    <a:stretch>
                      <a:fillRect/>
                    </a:stretch>
                  </pic:blipFill>
                  <pic:spPr>
                    <a:xfrm>
                      <a:off x="0" y="0"/>
                      <a:ext cx="2584264" cy="4603477"/>
                    </a:xfrm>
                    <a:prstGeom prst="rect">
                      <a:avLst/>
                    </a:prstGeom>
                  </pic:spPr>
                </pic:pic>
              </a:graphicData>
            </a:graphic>
          </wp:inline>
        </w:drawing>
      </w:r>
    </w:p>
    <w:p>
      <w:pPr>
        <w:widowControl w:val="0"/>
        <w:spacing w:line="480" w:lineRule="exact"/>
        <w:ind w:firstLine="440"/>
        <w:jc w:val="center"/>
        <w:rPr>
          <w:rFonts w:hint="eastAsia" w:ascii="仿宋" w:hAnsi="仿宋" w:eastAsia="仿宋" w:cs="仿宋"/>
          <w:color w:val="auto"/>
          <w:spacing w:val="-10"/>
          <w:sz w:val="24"/>
          <w:szCs w:val="24"/>
        </w:rPr>
      </w:pPr>
      <w:r>
        <w:rPr>
          <w:rFonts w:hint="eastAsia" w:ascii="仿宋" w:hAnsi="仿宋" w:eastAsia="仿宋" w:cs="仿宋"/>
          <w:color w:val="auto"/>
          <w:spacing w:val="-10"/>
          <w:sz w:val="24"/>
          <w:szCs w:val="24"/>
        </w:rPr>
        <w:t>图 15 队伍数为11支的秩序表样式</w:t>
      </w:r>
    </w:p>
    <w:p>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（2）队伍编号抽取流程</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赛前，各组别参赛队伍需在指定时段内，由 1 名队员代表前往抽签区域，通过随机抽签方式获取自身队伍的唯一编号（编号为阿拉伯数字，一经抽取，全程用于任务展示、协作组队、成绩统计等所有环节，不可更改）。</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抽签过程由组委会工作人员现场监督，全程公开透明，队伍抽取编号后需在《编号确认表》上签字确认，方可领取对应的场次凭证。</w:t>
      </w:r>
    </w:p>
    <w:p>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（3）协作与对抗关系确认</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抽签结束后，组委会将在活动公告区同步公示各组别《现场任务对阵总表》。各队伍需根据自身抽取的唯一编号，在秩序表中查询以下关键信息，完成协作与对抗关系确认：</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4 轮任务的具体场次及上场时间；</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每轮任务中，本队伍的协作团队伙伴（同协作团队的另一支队伍）；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每轮任务中，本队伍需对抗的对方协作团队（含 2 支队伍）；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每轮任务对应的任务场地及启动区（A/B 区）分配。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例如：某队伍抽取编号为 “5 号”，在秩序表中查询到第 3 场次显示 “红方协作团队：5 号、8 号；蓝方协作团队：12 号、15 号；场地编号：3 号”，则该队伍在第 3 场次的协作伙伴为 8 号队伍，对抗对象为 12 号、15 号组成的蓝方协作团队，需前往 3 号场地完成任务。</w:t>
      </w:r>
    </w:p>
    <w:p>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（4）协作团队核心要求</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每支队伍需全程参与 4 轮任务，4 轮任务中所加入的协作团队、对抗的对方协作团队均不重复，确保每支队伍能与不同对手竞技、不同伙伴协作；</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协作团队内的 2 支队伍需在每轮任务中协同配合，共同完成自动任务与遥控任务，能量值按协作团队整体统计（自动阶段能量值累积至本协作团队种植塔，遥控阶段能量值按任务要求为自身协作团队种植塔累积）；</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队伍需严格按照秩序表标注的场次及时间到场准备，逾期未到视为该轮任务自动弃权，协作团队该轮能量值按实际完成情况统计。</w:t>
      </w:r>
    </w:p>
    <w:p>
      <w:pPr>
        <w:ind w:firstLine="594"/>
        <w:outlineLvl w:val="2"/>
        <w:rPr>
          <w:rFonts w:hint="eastAsia" w:ascii="仿宋" w:hAnsi="仿宋" w:eastAsia="仿宋" w:cs="仿宋"/>
          <w:b/>
          <w:bCs/>
          <w:color w:val="auto"/>
          <w:spacing w:val="-2"/>
          <w:sz w:val="30"/>
          <w:szCs w:val="30"/>
        </w:rPr>
      </w:pP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2.比赛流程说明</w:t>
      </w:r>
    </w:p>
    <w:p>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（1）现场机器调试</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基本任务发布后，内容不会调整。有随机图像，随机位置相关的任务于竞赛展示当日由裁判现场公布。</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参赛选手需有序进入竞赛场，调试过程中不得改变现场道具的位置、高度等。非参赛选手不得进入竞赛场地。</w:t>
      </w:r>
    </w:p>
    <w:p>
      <w:pPr>
        <w:ind w:firstLine="592"/>
        <w:jc w:val="both"/>
        <w:rPr>
          <w:rFonts w:hint="eastAsia" w:ascii="仿宋" w:hAnsi="仿宋" w:eastAsia="仿宋" w:cs="仿宋"/>
          <w:b/>
          <w:bCs/>
          <w:color w:val="C00000"/>
          <w:spacing w:val="-2"/>
          <w:sz w:val="30"/>
          <w:szCs w:val="30"/>
        </w:rPr>
      </w:pPr>
      <w:r>
        <w:rPr>
          <w:rFonts w:hint="eastAsia" w:ascii="仿宋" w:hAnsi="仿宋" w:eastAsia="仿宋" w:cs="仿宋"/>
          <w:color w:val="C00000"/>
          <w:spacing w:val="-2"/>
          <w:sz w:val="30"/>
          <w:szCs w:val="30"/>
        </w:rPr>
        <w:t>每支队伍依据任务秩序表的次序，依次与其他四支队伍配合完成四轮场地任务展示，每轮场地任务的总时长为3分钟。</w:t>
      </w:r>
    </w:p>
    <w:p>
      <w:pPr>
        <w:ind w:firstLine="594"/>
        <w:outlineLvl w:val="2"/>
        <w:rPr>
          <w:rFonts w:ascii="仿宋" w:hAnsi="仿宋" w:eastAsia="仿宋" w:cs="仿宋"/>
          <w:b/>
          <w:bCs/>
          <w:color w:val="auto"/>
          <w:spacing w:val="-2"/>
          <w:sz w:val="30"/>
          <w:szCs w:val="30"/>
        </w:rPr>
      </w:pPr>
    </w:p>
    <w:p>
      <w:pPr>
        <w:ind w:firstLine="594"/>
        <w:outlineLvl w:val="2"/>
        <w:rPr>
          <w:rFonts w:ascii="仿宋" w:hAnsi="仿宋" w:eastAsia="仿宋" w:cs="仿宋"/>
          <w:b/>
          <w:bCs/>
          <w:color w:val="auto"/>
          <w:spacing w:val="-2"/>
          <w:sz w:val="30"/>
          <w:szCs w:val="30"/>
        </w:rPr>
      </w:pPr>
    </w:p>
    <w:p>
      <w:pPr>
        <w:ind w:firstLine="594"/>
        <w:outlineLvl w:val="2"/>
        <w:rPr>
          <w:rFonts w:ascii="仿宋" w:hAnsi="仿宋" w:eastAsia="仿宋" w:cs="仿宋"/>
          <w:b/>
          <w:bCs/>
          <w:color w:val="auto"/>
          <w:spacing w:val="-2"/>
          <w:sz w:val="30"/>
          <w:szCs w:val="30"/>
        </w:rPr>
      </w:pPr>
    </w:p>
    <w:p>
      <w:pPr>
        <w:ind w:firstLine="594"/>
        <w:outlineLvl w:val="2"/>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3.最终成绩计算说明</w:t>
      </w:r>
    </w:p>
    <w:p>
      <w:pPr>
        <w:ind w:firstLine="592"/>
        <w:jc w:val="both"/>
        <w:rPr>
          <w:rFonts w:ascii="仿宋" w:hAnsi="仿宋" w:eastAsia="仿宋" w:cs="仿宋"/>
          <w:color w:val="auto"/>
          <w:spacing w:val="-2"/>
          <w:sz w:val="30"/>
          <w:szCs w:val="30"/>
        </w:rPr>
      </w:pP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 xml:space="preserve">最终成绩由四轮场地任务总得分组成。 </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参赛队伍按最终成绩，由高至低排名。如果出现得分相同的情况，按如下顺序决定先后：</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四轮场地任务总得分高的排名在前；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去除一轮最低分后的三轮场地任务总得分高的排名在前；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去除两轮最低分后的两轮场地任务总得分高的排名在前；</w:t>
      </w:r>
    </w:p>
    <w:p>
      <w:pPr>
        <w:ind w:firstLine="592"/>
        <w:jc w:val="both"/>
        <w:rPr>
          <w:rFonts w:hint="eastAsia" w:ascii="仿宋" w:hAnsi="仿宋" w:eastAsia="仿宋" w:cs="仿宋"/>
          <w:color w:val="auto"/>
          <w:spacing w:val="-2"/>
          <w:sz w:val="30"/>
          <w:szCs w:val="30"/>
        </w:rPr>
      </w:pPr>
      <w:r>
        <w:rPr>
          <w:rFonts w:hint="eastAsia" w:ascii="仿宋" w:hAnsi="仿宋" w:eastAsia="仿宋" w:cs="仿宋"/>
          <w:color w:val="auto"/>
          <w:spacing w:val="-2"/>
          <w:sz w:val="30"/>
          <w:szCs w:val="30"/>
        </w:rPr>
        <w:t>最高一轮场地任务得分高的排名在前的排名在前。</w:t>
      </w:r>
    </w:p>
    <w:p>
      <w:pPr>
        <w:ind w:firstLine="592"/>
        <w:jc w:val="both"/>
        <w:rPr>
          <w:rFonts w:hint="eastAsia" w:ascii="仿宋" w:hAnsi="仿宋" w:eastAsia="仿宋" w:cs="仿宋"/>
          <w:color w:val="auto"/>
          <w:spacing w:val="-2"/>
          <w:sz w:val="30"/>
          <w:szCs w:val="30"/>
        </w:rPr>
      </w:pPr>
    </w:p>
    <w:p>
      <w:pPr>
        <w:ind w:firstLine="594"/>
        <w:jc w:val="both"/>
        <w:rPr>
          <w:rFonts w:hint="eastAsia" w:ascii="仿宋" w:hAnsi="仿宋" w:eastAsia="仿宋" w:cs="仿宋"/>
          <w:b/>
          <w:bCs/>
          <w:color w:val="auto"/>
          <w:spacing w:val="-2"/>
          <w:sz w:val="30"/>
          <w:szCs w:val="30"/>
        </w:rPr>
      </w:pPr>
      <w:r>
        <w:rPr>
          <w:rFonts w:hint="eastAsia" w:ascii="仿宋" w:hAnsi="仿宋" w:eastAsia="仿宋" w:cs="仿宋"/>
          <w:b/>
          <w:bCs/>
          <w:color w:val="auto"/>
          <w:spacing w:val="-2"/>
          <w:sz w:val="30"/>
          <w:szCs w:val="30"/>
        </w:rPr>
        <w:t>参赛选手应具备应对环境变化、任务现场公布的能力，在不影响竞赛公平、公正的前提下，如活动指南、任务书、比赛要求等内容与现场要求不一致时，将以现场的裁判组的要求为准。</w:t>
      </w: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ind w:firstLine="594"/>
        <w:jc w:val="both"/>
        <w:rPr>
          <w:rFonts w:hint="eastAsia" w:ascii="仿宋" w:hAnsi="仿宋" w:eastAsia="仿宋" w:cs="仿宋"/>
          <w:b/>
          <w:bCs/>
          <w:color w:val="auto"/>
          <w:spacing w:val="-2"/>
          <w:sz w:val="30"/>
          <w:szCs w:val="30"/>
        </w:rPr>
      </w:pPr>
    </w:p>
    <w:p>
      <w:pPr>
        <w:jc w:val="both"/>
        <w:rPr>
          <w:rFonts w:hint="eastAsia" w:ascii="仿宋" w:hAnsi="仿宋" w:eastAsia="仿宋" w:cs="仿宋"/>
          <w:b/>
          <w:bCs/>
          <w:color w:val="auto"/>
          <w:spacing w:val="-2"/>
          <w:sz w:val="30"/>
          <w:szCs w:val="30"/>
        </w:rPr>
      </w:pPr>
    </w:p>
    <w:p>
      <w:pPr>
        <w:numPr>
          <w:ilvl w:val="0"/>
          <w:numId w:val="1"/>
        </w:numPr>
        <w:spacing w:line="560" w:lineRule="exact"/>
        <w:ind w:firstLine="803" w:firstLineChars="200"/>
        <w:jc w:val="both"/>
        <w:rPr>
          <w:rFonts w:hint="eastAsia" w:ascii="仿宋" w:hAnsi="仿宋" w:eastAsia="仿宋" w:cs="仿宋"/>
          <w:b/>
          <w:bCs/>
          <w:sz w:val="40"/>
          <w:szCs w:val="40"/>
        </w:rPr>
      </w:pPr>
      <w:r>
        <w:rPr>
          <w:rFonts w:hint="eastAsia" w:ascii="仿宋" w:hAnsi="仿宋" w:eastAsia="仿宋" w:cs="仿宋"/>
          <w:b/>
          <w:bCs/>
          <w:sz w:val="40"/>
          <w:szCs w:val="40"/>
        </w:rPr>
        <w:t>注意事项</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（一）准备</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调试完成后机器人需放置在指定封存区进行封存（封存区不提供电源），准备上场进行场地任务时，各队伍拿取自己的机器人，听从现场工作人员安排进入任务区域。上场时请站立在本协作团队启动区附近。</w:t>
      </w:r>
      <w:r>
        <w:rPr>
          <w:rFonts w:hint="eastAsia" w:ascii="仿宋" w:hAnsi="仿宋" w:eastAsia="仿宋" w:cs="仿宋"/>
          <w:sz w:val="32"/>
          <w:szCs w:val="32"/>
        </w:rPr>
        <w:t>每个协作团队的两台机器人分别放置于本协作团队场地的启动区其中一处，</w:t>
      </w:r>
      <w:r>
        <w:rPr>
          <w:rFonts w:hint="eastAsia" w:ascii="仿宋" w:hAnsi="仿宋" w:eastAsia="仿宋" w:cs="仿宋"/>
          <w:color w:val="auto"/>
          <w:sz w:val="30"/>
          <w:szCs w:val="30"/>
        </w:rPr>
        <w:t>此时机器人的任何部分及其在地面的投影不能超出启动区。</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（二）启动</w:t>
      </w:r>
    </w:p>
    <w:p>
      <w:pPr>
        <w:widowControl w:val="0"/>
        <w:spacing w:line="480" w:lineRule="exact"/>
        <w:ind w:firstLine="600"/>
        <w:jc w:val="both"/>
        <w:rPr>
          <w:rFonts w:hint="eastAsia" w:ascii="仿宋" w:hAnsi="仿宋" w:eastAsia="仿宋" w:cs="仿宋"/>
          <w:color w:val="auto"/>
          <w:sz w:val="30"/>
          <w:szCs w:val="30"/>
        </w:rPr>
      </w:pPr>
      <w:bookmarkStart w:id="20" w:name="OLE_LINK18"/>
      <w:bookmarkStart w:id="21" w:name="OLE_LINK17"/>
      <w:r>
        <w:rPr>
          <w:rFonts w:hint="eastAsia" w:ascii="仿宋" w:hAnsi="仿宋" w:eastAsia="仿宋" w:cs="仿宋"/>
          <w:color w:val="auto"/>
          <w:sz w:val="30"/>
          <w:szCs w:val="30"/>
        </w:rPr>
        <w:t>裁判确认双方协作团队已准备好后，将发出“3，2，1，开始”的倒计数启动口令。随着倒计数的开始，听到“开始”命令的第一个字，队伍可以启动机器人开始任务。机器人只能在本协作团队区域内移动并完成相应任务。</w:t>
      </w:r>
      <w:bookmarkEnd w:id="20"/>
      <w:bookmarkEnd w:id="21"/>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机器人一旦启动，任务全程队伍不得接触机器人及场地道具装置（重置的情况除外）。</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启动后的机器人不得故意分离出部件或把机械零件掉在场上。如有偶然脱落的机器人零部件，需听从裁判安排及时清出场地。</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机器人在任务过程中不得将任务模型抛出场地外，抛出场地外的任务模型由该队伍立即拾取交由裁判保管。</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每轮任务结束后参与队伍需将机器人送至封存区等待。可在裁判允许情况下简单处理散落零件但不得更换程序及部件。</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（三）重启</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机器人在运行中如果出现故障，队伍可以向裁判申请重启。仅在裁判许可情况下方可重启，每场任务每支协作团队最多可申请两次重启。</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1）若自动时长内在裁判许可情况下重启，队伍需将需要重启的机器人搬回启动区，并将自动任务恢复至初始状态后重新启动机器人。自动时长内机器人启动后重新完成自动任务。如未按以上要求执行重启过程，裁判有权要求队伍重新完成重启过程，整个重启期间计时不停止，也不重新开始计时。</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2）若遥控时长内在裁判许可情况下重启，场地状态及任务完成状态保持不变，重启过程队伍不得触碰场地任何道具装置，只有当需要重启的机器人携带有相关任务模型时，队伍需重新将任务模型放置于模型对应装载区或分类区或补给区后，将机器人搬回启动区继续完成遥控任务。如未按以上要求执行重启过程，裁判有权要求队伍重新完成重启过程，整个重启期间计时不停止，也不重新开始计时。</w:t>
      </w:r>
    </w:p>
    <w:p>
      <w:pPr>
        <w:ind w:firstLine="640"/>
        <w:outlineLvl w:val="1"/>
        <w:rPr>
          <w:rFonts w:hint="eastAsia" w:ascii="仿宋" w:hAnsi="仿宋" w:eastAsia="仿宋" w:cs="仿宋"/>
          <w:b/>
          <w:bCs/>
          <w:sz w:val="32"/>
          <w:szCs w:val="32"/>
        </w:rPr>
      </w:pPr>
      <w:r>
        <w:rPr>
          <w:rFonts w:hint="eastAsia" w:ascii="仿宋" w:hAnsi="仿宋" w:eastAsia="仿宋" w:cs="仿宋"/>
          <w:b/>
          <w:bCs/>
          <w:sz w:val="32"/>
          <w:szCs w:val="32"/>
        </w:rPr>
        <w:t>（四）其他</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（1）遥控时长内，机器人不得破坏本方协作团队区域内种植塔底、中、上层任务模型既有状态，待任务时间结束时，本协作团队种植塔能量值清零（含自动阶段累积的能量值）。</w:t>
      </w:r>
    </w:p>
    <w:p>
      <w:pPr>
        <w:widowControl w:val="0"/>
        <w:spacing w:line="480" w:lineRule="exact"/>
        <w:ind w:firstLine="600"/>
        <w:jc w:val="both"/>
        <w:rPr>
          <w:rFonts w:hint="eastAsia" w:ascii="仿宋" w:hAnsi="仿宋" w:eastAsia="仿宋" w:cs="仿宋"/>
          <w:color w:val="auto"/>
          <w:sz w:val="30"/>
          <w:szCs w:val="30"/>
        </w:rPr>
      </w:pPr>
      <w:r>
        <w:rPr>
          <w:rFonts w:hint="eastAsia" w:ascii="仿宋" w:hAnsi="仿宋" w:eastAsia="仿宋" w:cs="仿宋"/>
          <w:color w:val="auto"/>
          <w:sz w:val="30"/>
          <w:szCs w:val="30"/>
        </w:rPr>
        <w:t>（2）其他具体安排以现场发布的要求为准。</w:t>
      </w:r>
    </w:p>
    <w:p>
      <w:pPr>
        <w:spacing w:line="560" w:lineRule="exact"/>
        <w:ind w:firstLine="640" w:firstLineChars="200"/>
        <w:jc w:val="both"/>
        <w:rPr>
          <w:rFonts w:hint="eastAsia" w:ascii="仿宋" w:hAnsi="仿宋" w:eastAsia="仿宋" w:cs="仿宋"/>
          <w:sz w:val="32"/>
          <w:szCs w:val="32"/>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仿宋" w:hAnsi="仿宋" w:eastAsia="仿宋" w:cs="方正小标宋简体"/>
          <w:spacing w:val="7"/>
          <w:sz w:val="30"/>
          <w:szCs w:val="30"/>
        </w:rPr>
      </w:pPr>
    </w:p>
    <w:p>
      <w:pPr>
        <w:spacing w:line="420" w:lineRule="exact"/>
        <w:jc w:val="center"/>
        <w:rPr>
          <w:rFonts w:hint="eastAsia" w:ascii="黑体" w:hAnsi="黑体" w:eastAsia="黑体" w:cs="黑体"/>
          <w:spacing w:val="7"/>
          <w:sz w:val="30"/>
          <w:szCs w:val="30"/>
        </w:rPr>
      </w:pPr>
      <w:r>
        <w:rPr>
          <w:rFonts w:hint="eastAsia" w:ascii="黑体" w:hAnsi="黑体" w:eastAsia="黑体" w:cs="黑体"/>
          <w:spacing w:val="7"/>
          <w:sz w:val="30"/>
          <w:szCs w:val="30"/>
          <w:lang w:val="en-US" w:eastAsia="zh-CN"/>
        </w:rPr>
        <w:t>2026年苏州市</w:t>
      </w:r>
      <w:r>
        <w:rPr>
          <w:rFonts w:hint="eastAsia" w:ascii="黑体" w:hAnsi="黑体" w:eastAsia="黑体" w:cs="黑体"/>
          <w:spacing w:val="7"/>
          <w:sz w:val="30"/>
          <w:szCs w:val="30"/>
        </w:rPr>
        <w:t>智达天工（场地任务）得分</w:t>
      </w:r>
      <w:bookmarkStart w:id="22" w:name="_GoBack"/>
      <w:bookmarkEnd w:id="22"/>
      <w:r>
        <w:rPr>
          <w:rFonts w:hint="eastAsia" w:ascii="黑体" w:hAnsi="黑体" w:eastAsia="黑体" w:cs="黑体"/>
          <w:spacing w:val="7"/>
          <w:sz w:val="30"/>
          <w:szCs w:val="30"/>
        </w:rPr>
        <w:t>记录表</w:t>
      </w:r>
    </w:p>
    <w:p>
      <w:pPr>
        <w:spacing w:line="360" w:lineRule="auto"/>
      </w:pPr>
      <w:r>
        <w:rPr>
          <w:rFonts w:hint="eastAsia"/>
        </w:rPr>
        <w:t>场次编号</w:t>
      </w:r>
      <w:r>
        <w:rPr>
          <w:rFonts w:ascii="仿宋_GB2312" w:hAnsi="仿宋_GB2312" w:eastAsia="仿宋_GB2312" w:cs="仿宋_GB2312"/>
          <w:spacing w:val="-2"/>
          <w:sz w:val="30"/>
          <w:szCs w:val="30"/>
          <w:u w:val="single"/>
        </w:rPr>
        <w:t xml:space="preserve">              </w:t>
      </w:r>
    </w:p>
    <w:p>
      <w:pPr>
        <w:spacing w:line="360" w:lineRule="auto"/>
        <w:rPr>
          <w:rFonts w:hint="eastAsia" w:ascii="仿宋_GB2312" w:hAnsi="仿宋_GB2312" w:eastAsia="仿宋_GB2312" w:cs="仿宋_GB2312"/>
          <w:spacing w:val="-2"/>
          <w:sz w:val="30"/>
          <w:szCs w:val="30"/>
        </w:rPr>
      </w:pPr>
      <w:r>
        <w:rPr>
          <w:rFonts w:hint="eastAsia"/>
        </w:rPr>
        <w:t>红方协作团队1编号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r>
        <w:rPr>
          <w:rFonts w:hint="eastAsia"/>
        </w:rPr>
        <w:t>蓝方协作团队</w:t>
      </w:r>
      <w:r>
        <w:t>3</w:t>
      </w:r>
      <w:r>
        <w:rPr>
          <w:rFonts w:hint="eastAsia"/>
        </w:rPr>
        <w:t>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p>
    <w:p>
      <w:pPr>
        <w:spacing w:line="360" w:lineRule="auto"/>
        <w:rPr>
          <w:rFonts w:hint="eastAsia" w:ascii="仿宋" w:hAnsi="仿宋" w:eastAsia="仿宋" w:cs="仿宋"/>
          <w:sz w:val="28"/>
          <w:szCs w:val="28"/>
          <w:u w:val="single"/>
        </w:rPr>
      </w:pPr>
      <w:r>
        <w:rPr>
          <w:rFonts w:hint="eastAsia"/>
        </w:rPr>
        <w:t>红方协作团队</w:t>
      </w:r>
      <w:r>
        <w:t>2</w:t>
      </w:r>
      <w:r>
        <w:rPr>
          <w:rFonts w:hint="eastAsia"/>
        </w:rPr>
        <w:t>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r>
        <w:rPr>
          <w:rFonts w:hint="eastAsia"/>
        </w:rPr>
        <w:t>蓝方协作团队</w:t>
      </w:r>
      <w:r>
        <w:t>4</w:t>
      </w:r>
      <w:r>
        <w:rPr>
          <w:rFonts w:hint="eastAsia"/>
        </w:rPr>
        <w:t>编号</w:t>
      </w:r>
      <w:r>
        <w:rPr>
          <w:rFonts w:ascii="仿宋_GB2312" w:hAnsi="仿宋_GB2312" w:eastAsia="仿宋_GB2312" w:cs="仿宋_GB2312"/>
          <w:spacing w:val="-2"/>
          <w:sz w:val="30"/>
          <w:szCs w:val="30"/>
          <w:u w:val="single"/>
        </w:rPr>
        <w:t xml:space="preserve">                </w:t>
      </w:r>
      <w:r>
        <w:rPr>
          <w:rFonts w:ascii="仿宋_GB2312" w:hAnsi="仿宋_GB2312" w:eastAsia="仿宋_GB2312" w:cs="仿宋_GB2312"/>
          <w:spacing w:val="-2"/>
          <w:sz w:val="30"/>
          <w:szCs w:val="30"/>
        </w:rPr>
        <w:t xml:space="preserve">  </w:t>
      </w:r>
    </w:p>
    <w:tbl>
      <w:tblPr>
        <w:tblStyle w:val="12"/>
        <w:tblW w:w="5000" w:type="pct"/>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745"/>
        <w:gridCol w:w="725"/>
        <w:gridCol w:w="4300"/>
        <w:gridCol w:w="1009"/>
        <w:gridCol w:w="1170"/>
        <w:gridCol w:w="111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841" w:hRule="atLeast"/>
          <w:jc w:val="center"/>
        </w:trPr>
        <w:tc>
          <w:tcPr>
            <w:tcW w:w="411"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阶段</w:t>
            </w:r>
          </w:p>
        </w:tc>
        <w:tc>
          <w:tcPr>
            <w:tcW w:w="400"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任务名称</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任务描述</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能量值</w:t>
            </w:r>
          </w:p>
        </w:tc>
        <w:tc>
          <w:tcPr>
            <w:tcW w:w="646" w:type="pct"/>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红方团队</w:t>
            </w:r>
          </w:p>
        </w:tc>
        <w:tc>
          <w:tcPr>
            <w:tcW w:w="613" w:type="pct"/>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蓝方团队</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器材</w:t>
            </w:r>
          </w:p>
          <w:p>
            <w:pPr>
              <w:spacing w:line="400" w:lineRule="exact"/>
              <w:rPr>
                <w:rFonts w:hint="eastAsia" w:ascii="仿宋" w:hAnsi="仿宋" w:eastAsia="仿宋" w:cs="仿宋"/>
                <w:sz w:val="24"/>
                <w:szCs w:val="24"/>
              </w:rPr>
            </w:pPr>
            <w:r>
              <w:rPr>
                <w:rFonts w:hint="eastAsia" w:ascii="仿宋" w:hAnsi="仿宋" w:eastAsia="仿宋" w:cs="仿宋"/>
                <w:sz w:val="24"/>
                <w:szCs w:val="24"/>
              </w:rPr>
              <w:t>检查</w:t>
            </w:r>
          </w:p>
        </w:tc>
        <w:tc>
          <w:tcPr>
            <w:tcW w:w="3330" w:type="pct"/>
            <w:gridSpan w:val="3"/>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本方协作团队的两台机器人分别能够完全放入两个启动区内，并且在赛前检查过程中低于</w:t>
            </w:r>
            <w:r>
              <w:rPr>
                <w:rFonts w:ascii="仿宋" w:hAnsi="仿宋" w:eastAsia="仿宋" w:cs="仿宋"/>
                <w:sz w:val="24"/>
                <w:szCs w:val="24"/>
              </w:rPr>
              <w:t>400</w:t>
            </w:r>
            <w:r>
              <w:rPr>
                <w:rFonts w:hint="eastAsia" w:ascii="仿宋" w:hAnsi="仿宋" w:eastAsia="仿宋" w:cs="仿宋"/>
                <w:sz w:val="24"/>
                <w:szCs w:val="24"/>
              </w:rPr>
              <w:t>毫米的高度上限。</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741" w:hRule="atLeast"/>
          <w:jc w:val="center"/>
        </w:trPr>
        <w:tc>
          <w:tcPr>
            <w:tcW w:w="411" w:type="pct"/>
            <w:vMerge w:val="restar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自动</w:t>
            </w:r>
          </w:p>
          <w:p>
            <w:pPr>
              <w:spacing w:line="400" w:lineRule="exact"/>
              <w:rPr>
                <w:rFonts w:hint="eastAsia" w:ascii="仿宋" w:hAnsi="仿宋" w:eastAsia="仿宋" w:cs="仿宋"/>
                <w:sz w:val="24"/>
                <w:szCs w:val="24"/>
              </w:rPr>
            </w:pPr>
            <w:r>
              <w:rPr>
                <w:rFonts w:hint="eastAsia" w:ascii="仿宋" w:hAnsi="仿宋" w:eastAsia="仿宋" w:cs="仿宋"/>
                <w:sz w:val="24"/>
                <w:szCs w:val="24"/>
              </w:rPr>
              <w:t>任务</w:t>
            </w:r>
          </w:p>
          <w:p>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w:t>
            </w:r>
            <w:r>
              <w:rPr>
                <w:rFonts w:hint="eastAsia" w:ascii="仿宋" w:hAnsi="仿宋" w:eastAsia="仿宋" w:cs="仿宋"/>
                <w:sz w:val="24"/>
                <w:szCs w:val="24"/>
              </w:rPr>
              <w:t>秒</w:t>
            </w:r>
          </w:p>
        </w:tc>
        <w:tc>
          <w:tcPr>
            <w:tcW w:w="400"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农耕启行</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机器人在地面的正投影完全在启动区外。</w:t>
            </w:r>
          </w:p>
        </w:tc>
        <w:tc>
          <w:tcPr>
            <w:tcW w:w="557" w:type="pc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30/</w:t>
            </w:r>
            <w:r>
              <w:rPr>
                <w:rFonts w:hint="eastAsia" w:ascii="仿宋" w:hAnsi="仿宋" w:eastAsia="仿宋" w:cs="仿宋"/>
                <w:sz w:val="24"/>
                <w:szCs w:val="24"/>
              </w:rPr>
              <w:t>台</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restar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作物辨识</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作物辨识装置的显示屏显示作物标识。</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0/台</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机器人控制器的屏幕清晰显示相同作物标识</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0/台</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restar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艺链农耕</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正确作物模型离开起始位置。</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正确作物模型完全进入本协作团队种植塔，作物模型最终位于底层、中层、顶层位置。</w:t>
            </w:r>
          </w:p>
        </w:tc>
        <w:tc>
          <w:tcPr>
            <w:tcW w:w="557" w:type="pc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底</w:t>
            </w:r>
            <w:r>
              <w:rPr>
                <w:rFonts w:hint="eastAsia" w:ascii="仿宋" w:hAnsi="仿宋" w:eastAsia="仿宋" w:cs="仿宋"/>
                <w:sz w:val="24"/>
                <w:szCs w:val="24"/>
              </w:rPr>
              <w:t>2</w:t>
            </w:r>
            <w:r>
              <w:rPr>
                <w:rFonts w:ascii="仿宋" w:hAnsi="仿宋" w:eastAsia="仿宋" w:cs="仿宋"/>
                <w:sz w:val="24"/>
                <w:szCs w:val="24"/>
              </w:rPr>
              <w:t>0/个</w:t>
            </w:r>
          </w:p>
          <w:p>
            <w:pPr>
              <w:spacing w:line="400" w:lineRule="exact"/>
              <w:rPr>
                <w:rFonts w:hint="eastAsia" w:ascii="仿宋" w:hAnsi="仿宋" w:eastAsia="仿宋" w:cs="仿宋"/>
                <w:sz w:val="24"/>
                <w:szCs w:val="24"/>
              </w:rPr>
            </w:pPr>
            <w:r>
              <w:rPr>
                <w:rFonts w:ascii="仿宋" w:hAnsi="仿宋" w:eastAsia="仿宋" w:cs="仿宋"/>
                <w:sz w:val="24"/>
                <w:szCs w:val="24"/>
              </w:rPr>
              <w:t>中</w:t>
            </w:r>
            <w:r>
              <w:rPr>
                <w:rFonts w:hint="eastAsia" w:ascii="仿宋" w:hAnsi="仿宋" w:eastAsia="仿宋" w:cs="仿宋"/>
                <w:sz w:val="24"/>
                <w:szCs w:val="24"/>
              </w:rPr>
              <w:t>3</w:t>
            </w:r>
            <w:r>
              <w:rPr>
                <w:rFonts w:ascii="仿宋" w:hAnsi="仿宋" w:eastAsia="仿宋" w:cs="仿宋"/>
                <w:sz w:val="24"/>
                <w:szCs w:val="24"/>
              </w:rPr>
              <w:t>0/个</w:t>
            </w:r>
          </w:p>
          <w:p>
            <w:pPr>
              <w:spacing w:line="400" w:lineRule="exact"/>
              <w:rPr>
                <w:rFonts w:hint="eastAsia" w:ascii="仿宋" w:hAnsi="仿宋" w:eastAsia="仿宋" w:cs="仿宋"/>
                <w:sz w:val="24"/>
                <w:szCs w:val="24"/>
              </w:rPr>
            </w:pPr>
            <w:r>
              <w:rPr>
                <w:rFonts w:ascii="仿宋" w:hAnsi="仿宋" w:eastAsia="仿宋" w:cs="仿宋"/>
                <w:sz w:val="24"/>
                <w:szCs w:val="24"/>
              </w:rPr>
              <w:t>顶</w:t>
            </w:r>
            <w:r>
              <w:rPr>
                <w:rFonts w:hint="eastAsia" w:ascii="仿宋" w:hAnsi="仿宋" w:eastAsia="仿宋" w:cs="仿宋"/>
                <w:sz w:val="24"/>
                <w:szCs w:val="24"/>
              </w:rPr>
              <w:t>4</w:t>
            </w:r>
            <w:r>
              <w:rPr>
                <w:rFonts w:ascii="仿宋" w:hAnsi="仿宋" w:eastAsia="仿宋" w:cs="仿宋"/>
                <w:sz w:val="24"/>
                <w:szCs w:val="24"/>
              </w:rPr>
              <w:t>0/个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28" w:hRule="atLeast"/>
          <w:jc w:val="center"/>
        </w:trPr>
        <w:tc>
          <w:tcPr>
            <w:tcW w:w="3741" w:type="pct"/>
            <w:gridSpan w:val="4"/>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自动阶段，本方种植塔能量值总和</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restar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遥控</w:t>
            </w:r>
          </w:p>
          <w:p>
            <w:pPr>
              <w:spacing w:line="400" w:lineRule="exact"/>
              <w:rPr>
                <w:rFonts w:hint="eastAsia" w:ascii="仿宋" w:hAnsi="仿宋" w:eastAsia="仿宋" w:cs="仿宋"/>
                <w:sz w:val="24"/>
                <w:szCs w:val="24"/>
              </w:rPr>
            </w:pPr>
            <w:r>
              <w:rPr>
                <w:rFonts w:hint="eastAsia" w:ascii="仿宋" w:hAnsi="仿宋" w:eastAsia="仿宋" w:cs="仿宋"/>
                <w:sz w:val="24"/>
                <w:szCs w:val="24"/>
              </w:rPr>
              <w:t>任务</w:t>
            </w:r>
          </w:p>
          <w:p>
            <w:pPr>
              <w:spacing w:line="400" w:lineRule="exact"/>
              <w:rPr>
                <w:rFonts w:hint="eastAsia" w:ascii="仿宋" w:hAnsi="仿宋" w:eastAsia="仿宋" w:cs="仿宋"/>
                <w:sz w:val="24"/>
                <w:szCs w:val="24"/>
              </w:rPr>
            </w:pPr>
            <w:r>
              <w:rPr>
                <w:rFonts w:hint="eastAsia" w:ascii="仿宋" w:hAnsi="仿宋" w:eastAsia="仿宋" w:cs="仿宋"/>
                <w:sz w:val="24"/>
                <w:szCs w:val="24"/>
              </w:rPr>
              <w:t>1</w:t>
            </w:r>
            <w:r>
              <w:rPr>
                <w:rFonts w:ascii="仿宋" w:hAnsi="仿宋" w:eastAsia="仿宋" w:cs="仿宋"/>
                <w:sz w:val="24"/>
                <w:szCs w:val="24"/>
              </w:rPr>
              <w:t>50</w:t>
            </w:r>
            <w:r>
              <w:rPr>
                <w:rFonts w:hint="eastAsia" w:ascii="仿宋" w:hAnsi="仿宋" w:eastAsia="仿宋" w:cs="仿宋"/>
                <w:sz w:val="24"/>
                <w:szCs w:val="24"/>
              </w:rPr>
              <w:t>秒</w:t>
            </w:r>
          </w:p>
        </w:tc>
        <w:tc>
          <w:tcPr>
            <w:tcW w:w="400" w:type="pct"/>
            <w:vMerge w:val="restar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巧播良种</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青麦种子模型与对方协作团队种植塔的中层呈接触状态。</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2</w:t>
            </w:r>
            <w:r>
              <w:rPr>
                <w:rFonts w:ascii="仿宋" w:hAnsi="仿宋" w:eastAsia="仿宋" w:cs="仿宋"/>
                <w:sz w:val="24"/>
                <w:szCs w:val="24"/>
              </w:rPr>
              <w:t>0/个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丹稷种子模型与对方协作团队种植塔的顶层呈接触状态。</w:t>
            </w:r>
          </w:p>
        </w:tc>
        <w:tc>
          <w:tcPr>
            <w:tcW w:w="557" w:type="pc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30/个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玄菽种子模型与对方协作团队种植塔的底层、中层、顶层呈接触状态。</w:t>
            </w:r>
          </w:p>
        </w:tc>
        <w:tc>
          <w:tcPr>
            <w:tcW w:w="557" w:type="pc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底</w:t>
            </w:r>
            <w:r>
              <w:rPr>
                <w:rFonts w:hint="eastAsia" w:ascii="仿宋" w:hAnsi="仿宋" w:eastAsia="仿宋" w:cs="仿宋"/>
                <w:sz w:val="24"/>
                <w:szCs w:val="24"/>
              </w:rPr>
              <w:t>2</w:t>
            </w:r>
            <w:r>
              <w:rPr>
                <w:rFonts w:ascii="仿宋" w:hAnsi="仿宋" w:eastAsia="仿宋" w:cs="仿宋"/>
                <w:sz w:val="24"/>
                <w:szCs w:val="24"/>
              </w:rPr>
              <w:t>0/个</w:t>
            </w:r>
          </w:p>
          <w:p>
            <w:pPr>
              <w:spacing w:line="400" w:lineRule="exact"/>
              <w:rPr>
                <w:rFonts w:hint="eastAsia" w:ascii="仿宋" w:hAnsi="仿宋" w:eastAsia="仿宋" w:cs="仿宋"/>
                <w:sz w:val="24"/>
                <w:szCs w:val="24"/>
              </w:rPr>
            </w:pPr>
            <w:r>
              <w:rPr>
                <w:rFonts w:ascii="仿宋" w:hAnsi="仿宋" w:eastAsia="仿宋" w:cs="仿宋"/>
                <w:sz w:val="24"/>
                <w:szCs w:val="24"/>
              </w:rPr>
              <w:t>中</w:t>
            </w:r>
            <w:r>
              <w:rPr>
                <w:rFonts w:hint="eastAsia" w:ascii="仿宋" w:hAnsi="仿宋" w:eastAsia="仿宋" w:cs="仿宋"/>
                <w:sz w:val="24"/>
                <w:szCs w:val="24"/>
              </w:rPr>
              <w:t>3</w:t>
            </w:r>
            <w:r>
              <w:rPr>
                <w:rFonts w:ascii="仿宋" w:hAnsi="仿宋" w:eastAsia="仿宋" w:cs="仿宋"/>
                <w:sz w:val="24"/>
                <w:szCs w:val="24"/>
              </w:rPr>
              <w:t>0/个</w:t>
            </w:r>
          </w:p>
          <w:p>
            <w:pPr>
              <w:spacing w:line="400" w:lineRule="exact"/>
              <w:rPr>
                <w:rFonts w:hint="eastAsia" w:ascii="仿宋" w:hAnsi="仿宋" w:eastAsia="仿宋" w:cs="仿宋"/>
                <w:sz w:val="24"/>
                <w:szCs w:val="24"/>
              </w:rPr>
            </w:pPr>
            <w:r>
              <w:rPr>
                <w:rFonts w:ascii="仿宋" w:hAnsi="仿宋" w:eastAsia="仿宋" w:cs="仿宋"/>
                <w:sz w:val="24"/>
                <w:szCs w:val="24"/>
              </w:rPr>
              <w:t>顶</w:t>
            </w:r>
            <w:r>
              <w:rPr>
                <w:rFonts w:hint="eastAsia" w:ascii="仿宋" w:hAnsi="仿宋" w:eastAsia="仿宋" w:cs="仿宋"/>
                <w:sz w:val="24"/>
                <w:szCs w:val="24"/>
              </w:rPr>
              <w:t>4</w:t>
            </w:r>
            <w:r>
              <w:rPr>
                <w:rFonts w:ascii="仿宋" w:hAnsi="仿宋" w:eastAsia="仿宋" w:cs="仿宋"/>
                <w:sz w:val="24"/>
                <w:szCs w:val="24"/>
              </w:rPr>
              <w:t>0/个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青麦或丹稷种子模型的垂直投影完全进入对方协作团队区域内，但未接触种植塔对应的中层或顶层。</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5</w:t>
            </w:r>
            <w:r>
              <w:rPr>
                <w:rFonts w:ascii="仿宋" w:hAnsi="仿宋" w:eastAsia="仿宋" w:cs="仿宋"/>
                <w:sz w:val="24"/>
                <w:szCs w:val="24"/>
              </w:rPr>
              <w:t>/个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玄菽种子模型的垂直投影完全进入对方协作团队区域内，但未接触种植塔。</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5</w:t>
            </w:r>
            <w:r>
              <w:rPr>
                <w:rFonts w:ascii="仿宋" w:hAnsi="仿宋" w:eastAsia="仿宋" w:cs="仿宋"/>
                <w:sz w:val="24"/>
                <w:szCs w:val="24"/>
              </w:rPr>
              <w:t>/个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660"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restar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巧施水肥</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肥料模块与对方协作团队种植塔的底层、中层、顶层呈接触状态。</w:t>
            </w:r>
          </w:p>
        </w:tc>
        <w:tc>
          <w:tcPr>
            <w:tcW w:w="557" w:type="pct"/>
            <w:vAlign w:val="center"/>
          </w:tcPr>
          <w:p>
            <w:pPr>
              <w:spacing w:line="400" w:lineRule="exact"/>
              <w:rPr>
                <w:rFonts w:hint="eastAsia" w:ascii="仿宋" w:hAnsi="仿宋" w:eastAsia="仿宋" w:cs="仿宋"/>
                <w:sz w:val="24"/>
                <w:szCs w:val="24"/>
              </w:rPr>
            </w:pPr>
            <w:r>
              <w:rPr>
                <w:rFonts w:ascii="仿宋" w:hAnsi="仿宋" w:eastAsia="仿宋" w:cs="仿宋"/>
                <w:sz w:val="24"/>
                <w:szCs w:val="24"/>
              </w:rPr>
              <w:t>底</w:t>
            </w:r>
            <w:r>
              <w:rPr>
                <w:rFonts w:hint="eastAsia" w:ascii="仿宋" w:hAnsi="仿宋" w:eastAsia="仿宋" w:cs="仿宋"/>
                <w:sz w:val="24"/>
                <w:szCs w:val="24"/>
              </w:rPr>
              <w:t>1</w:t>
            </w:r>
            <w:r>
              <w:rPr>
                <w:rFonts w:ascii="仿宋" w:hAnsi="仿宋" w:eastAsia="仿宋" w:cs="仿宋"/>
                <w:sz w:val="24"/>
                <w:szCs w:val="24"/>
              </w:rPr>
              <w:t>0/个</w:t>
            </w:r>
          </w:p>
          <w:p>
            <w:pPr>
              <w:spacing w:line="400" w:lineRule="exact"/>
              <w:rPr>
                <w:rFonts w:hint="eastAsia" w:ascii="仿宋" w:hAnsi="仿宋" w:eastAsia="仿宋" w:cs="仿宋"/>
                <w:sz w:val="24"/>
                <w:szCs w:val="24"/>
              </w:rPr>
            </w:pPr>
            <w:r>
              <w:rPr>
                <w:rFonts w:ascii="仿宋" w:hAnsi="仿宋" w:eastAsia="仿宋" w:cs="仿宋"/>
                <w:sz w:val="24"/>
                <w:szCs w:val="24"/>
              </w:rPr>
              <w:t>中</w:t>
            </w:r>
            <w:r>
              <w:rPr>
                <w:rFonts w:hint="eastAsia" w:ascii="仿宋" w:hAnsi="仿宋" w:eastAsia="仿宋" w:cs="仿宋"/>
                <w:sz w:val="24"/>
                <w:szCs w:val="24"/>
              </w:rPr>
              <w:t>2</w:t>
            </w:r>
            <w:r>
              <w:rPr>
                <w:rFonts w:ascii="仿宋" w:hAnsi="仿宋" w:eastAsia="仿宋" w:cs="仿宋"/>
                <w:sz w:val="24"/>
                <w:szCs w:val="24"/>
              </w:rPr>
              <w:t>0/个</w:t>
            </w:r>
          </w:p>
          <w:p>
            <w:pPr>
              <w:spacing w:line="400" w:lineRule="exact"/>
              <w:rPr>
                <w:rFonts w:hint="eastAsia" w:ascii="仿宋" w:hAnsi="仿宋" w:eastAsia="仿宋" w:cs="仿宋"/>
                <w:sz w:val="24"/>
                <w:szCs w:val="24"/>
              </w:rPr>
            </w:pPr>
            <w:r>
              <w:rPr>
                <w:rFonts w:ascii="仿宋" w:hAnsi="仿宋" w:eastAsia="仿宋" w:cs="仿宋"/>
                <w:sz w:val="24"/>
                <w:szCs w:val="24"/>
              </w:rPr>
              <w:t>顶</w:t>
            </w:r>
            <w:r>
              <w:rPr>
                <w:rFonts w:hint="eastAsia" w:ascii="仿宋" w:hAnsi="仿宋" w:eastAsia="仿宋" w:cs="仿宋"/>
                <w:sz w:val="24"/>
                <w:szCs w:val="24"/>
              </w:rPr>
              <w:t>3</w:t>
            </w:r>
            <w:r>
              <w:rPr>
                <w:rFonts w:ascii="仿宋" w:hAnsi="仿宋" w:eastAsia="仿宋" w:cs="仿宋"/>
                <w:sz w:val="24"/>
                <w:szCs w:val="24"/>
              </w:rPr>
              <w:t>0/个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Merge w:val="continue"/>
            <w:vAlign w:val="center"/>
          </w:tcPr>
          <w:p>
            <w:pPr>
              <w:spacing w:line="400" w:lineRule="exact"/>
              <w:rPr>
                <w:rFonts w:hint="eastAsia" w:ascii="仿宋" w:hAnsi="仿宋" w:eastAsia="仿宋" w:cs="仿宋"/>
                <w:sz w:val="24"/>
                <w:szCs w:val="24"/>
              </w:rPr>
            </w:pP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肥料模块的垂直投影完全进入对方协作团队区域内，但未接触种植塔。</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5</w:t>
            </w:r>
            <w:r>
              <w:rPr>
                <w:rFonts w:ascii="仿宋" w:hAnsi="仿宋" w:eastAsia="仿宋" w:cs="仿宋"/>
                <w:sz w:val="24"/>
                <w:szCs w:val="24"/>
              </w:rPr>
              <w:t>/</w:t>
            </w:r>
            <w:r>
              <w:rPr>
                <w:rFonts w:hint="eastAsia" w:ascii="仿宋" w:hAnsi="仿宋" w:eastAsia="仿宋" w:cs="仿宋"/>
                <w:sz w:val="24"/>
                <w:szCs w:val="24"/>
              </w:rPr>
              <w:t>个</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五谷丰登</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“五谷宝珠”与对方协作团队种植塔顶层不接触。</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6</w:t>
            </w:r>
            <w:r>
              <w:rPr>
                <w:rFonts w:ascii="仿宋" w:hAnsi="仿宋" w:eastAsia="仿宋" w:cs="仿宋"/>
                <w:sz w:val="24"/>
                <w:szCs w:val="24"/>
              </w:rPr>
              <w:t>0</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411" w:type="pct"/>
            <w:vMerge w:val="continue"/>
            <w:vAlign w:val="center"/>
          </w:tcPr>
          <w:p>
            <w:pPr>
              <w:spacing w:line="400" w:lineRule="exact"/>
              <w:rPr>
                <w:rFonts w:hint="eastAsia" w:ascii="仿宋" w:hAnsi="仿宋" w:eastAsia="仿宋" w:cs="仿宋"/>
                <w:sz w:val="24"/>
                <w:szCs w:val="24"/>
              </w:rPr>
            </w:pPr>
          </w:p>
        </w:tc>
        <w:tc>
          <w:tcPr>
            <w:tcW w:w="400"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归仓休耕</w:t>
            </w:r>
          </w:p>
        </w:tc>
        <w:tc>
          <w:tcPr>
            <w:tcW w:w="2373"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机器人任一驱动轮接触启动区，并通过触摸机器人控制器的显示屏显示指定颜色的“归仓休耕”字体。</w:t>
            </w:r>
          </w:p>
        </w:tc>
        <w:tc>
          <w:tcPr>
            <w:tcW w:w="557" w:type="pct"/>
            <w:vAlign w:val="center"/>
          </w:tcPr>
          <w:p>
            <w:pPr>
              <w:spacing w:line="400" w:lineRule="exact"/>
              <w:rPr>
                <w:rFonts w:hint="eastAsia" w:ascii="仿宋" w:hAnsi="仿宋" w:eastAsia="仿宋" w:cs="仿宋"/>
                <w:sz w:val="24"/>
                <w:szCs w:val="24"/>
              </w:rPr>
            </w:pPr>
            <w:r>
              <w:rPr>
                <w:rFonts w:hint="eastAsia" w:ascii="仿宋" w:hAnsi="仿宋" w:eastAsia="仿宋" w:cs="仿宋"/>
                <w:sz w:val="24"/>
                <w:szCs w:val="24"/>
              </w:rPr>
              <w:t>3</w:t>
            </w:r>
            <w:r>
              <w:rPr>
                <w:rFonts w:ascii="仿宋" w:hAnsi="仿宋" w:eastAsia="仿宋" w:cs="仿宋"/>
                <w:sz w:val="24"/>
                <w:szCs w:val="24"/>
              </w:rPr>
              <w:t>0/</w:t>
            </w:r>
            <w:r>
              <w:rPr>
                <w:rFonts w:hint="eastAsia" w:ascii="仿宋" w:hAnsi="仿宋" w:eastAsia="仿宋" w:cs="仿宋"/>
                <w:sz w:val="24"/>
                <w:szCs w:val="24"/>
              </w:rPr>
              <w:t>台</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1" w:type="pct"/>
            <w:gridSpan w:val="4"/>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遥控阶段，本方种植塔能量值总和</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567" w:hRule="atLeast"/>
          <w:jc w:val="center"/>
        </w:trPr>
        <w:tc>
          <w:tcPr>
            <w:tcW w:w="3741" w:type="pct"/>
            <w:gridSpan w:val="4"/>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本方种植塔能量值总和（自动阶段与遥控阶段能量值之和）</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48" w:hRule="atLeast"/>
          <w:jc w:val="center"/>
        </w:trPr>
        <w:tc>
          <w:tcPr>
            <w:tcW w:w="3741" w:type="pct"/>
            <w:gridSpan w:val="4"/>
            <w:vAlign w:val="center"/>
          </w:tcPr>
          <w:p>
            <w:pPr>
              <w:spacing w:line="400" w:lineRule="exact"/>
              <w:jc w:val="center"/>
              <w:rPr>
                <w:rFonts w:hint="eastAsia" w:ascii="仿宋" w:hAnsi="仿宋" w:eastAsia="仿宋" w:cs="仿宋"/>
                <w:sz w:val="24"/>
                <w:szCs w:val="24"/>
              </w:rPr>
            </w:pPr>
            <w:r>
              <w:rPr>
                <w:rFonts w:hint="eastAsia" w:ascii="仿宋" w:hAnsi="仿宋" w:eastAsia="仿宋" w:cs="仿宋"/>
                <w:sz w:val="24"/>
                <w:szCs w:val="24"/>
              </w:rPr>
              <w:t>团队代表签名确认</w:t>
            </w:r>
          </w:p>
        </w:tc>
        <w:tc>
          <w:tcPr>
            <w:tcW w:w="646" w:type="pct"/>
            <w:vAlign w:val="center"/>
          </w:tcPr>
          <w:p>
            <w:pPr>
              <w:spacing w:line="400" w:lineRule="exact"/>
              <w:rPr>
                <w:rFonts w:hint="eastAsia" w:ascii="仿宋" w:hAnsi="仿宋" w:eastAsia="仿宋" w:cs="仿宋"/>
                <w:sz w:val="24"/>
                <w:szCs w:val="24"/>
              </w:rPr>
            </w:pPr>
          </w:p>
        </w:tc>
        <w:tc>
          <w:tcPr>
            <w:tcW w:w="613" w:type="pct"/>
          </w:tcPr>
          <w:p>
            <w:pPr>
              <w:spacing w:line="400" w:lineRule="exact"/>
              <w:rPr>
                <w:rFonts w:hint="eastAsia" w:ascii="仿宋" w:hAnsi="仿宋" w:eastAsia="仿宋" w:cs="仿宋"/>
                <w:sz w:val="24"/>
                <w:szCs w:val="24"/>
              </w:rPr>
            </w:pPr>
          </w:p>
        </w:tc>
      </w:tr>
    </w:tbl>
    <w:p/>
    <w:p>
      <w:pPr>
        <w:spacing w:line="560" w:lineRule="exact"/>
        <w:ind w:firstLine="640" w:firstLineChars="200"/>
        <w:jc w:val="both"/>
        <w:rPr>
          <w:rFonts w:hint="eastAsia" w:ascii="仿宋" w:hAnsi="仿宋" w:eastAsia="仿宋" w:cs="仿宋"/>
          <w:sz w:val="32"/>
          <w:szCs w:val="32"/>
        </w:rPr>
      </w:pPr>
    </w:p>
    <w:p>
      <w:pPr>
        <w:spacing w:line="560" w:lineRule="exact"/>
        <w:ind w:firstLine="640" w:firstLineChars="200"/>
        <w:jc w:val="both"/>
        <w:rPr>
          <w:rFonts w:hint="eastAsia" w:ascii="仿宋" w:hAnsi="仿宋" w:eastAsia="仿宋" w:cs="仿宋"/>
          <w:sz w:val="32"/>
          <w:szCs w:val="32"/>
        </w:rPr>
      </w:pPr>
    </w:p>
    <w:sectPr>
      <w:footerReference r:id="rId4" w:type="default"/>
      <w:pgSz w:w="11906" w:h="16838"/>
      <w:pgMar w:top="2098" w:right="1531" w:bottom="1701" w:left="1531" w:header="851" w:footer="992" w:gutter="0"/>
      <w:pgNumType w:fmt="numberInDash"/>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E9F639BB-E5FB-4272-95C7-76D27FBF6D3D}"/>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embedRegular r:id="rId2" w:fontKey="{E93C6ED7-0D46-4FF9-8E82-3FE7394A539E}"/>
  </w:font>
  <w:font w:name="仿宋">
    <w:panose1 w:val="02010609060101010101"/>
    <w:charset w:val="86"/>
    <w:family w:val="modern"/>
    <w:pitch w:val="default"/>
    <w:sig w:usb0="800002BF" w:usb1="38CF7CFA" w:usb2="00000016" w:usb3="00000000" w:csb0="00040001" w:csb1="00000000"/>
    <w:embedRegular r:id="rId3" w:fontKey="{6A9B1895-BECA-4720-B8E8-7AB1A13E09C7}"/>
  </w:font>
  <w:font w:name="方正小标宋简体">
    <w:panose1 w:val="02000000000000000000"/>
    <w:charset w:val="86"/>
    <w:family w:val="auto"/>
    <w:pitch w:val="default"/>
    <w:sig w:usb0="00000001" w:usb1="08000000" w:usb2="00000000" w:usb3="00000000" w:csb0="00040000" w:csb1="00000000"/>
    <w:embedRegular r:id="rId4" w:fontKey="{17D37881-B12F-4155-A5F4-5D9531680DF0}"/>
  </w:font>
  <w:font w:name="仿宋_GB2312">
    <w:altName w:val="仿宋"/>
    <w:panose1 w:val="00000000000000000000"/>
    <w:charset w:val="86"/>
    <w:family w:val="modern"/>
    <w:pitch w:val="default"/>
    <w:sig w:usb0="00000000" w:usb1="00000000" w:usb2="00000010" w:usb3="00000000" w:csb0="00040000" w:csb1="00000000"/>
    <w:embedRegular r:id="rId5" w:fontKey="{85581665-03CC-4668-9D0E-35A7C6041398}"/>
  </w:font>
  <w:font w:name="MS PGothic">
    <w:panose1 w:val="020B0600070205080204"/>
    <w:charset w:val="80"/>
    <w:family w:val="auto"/>
    <w:pitch w:val="default"/>
    <w:sig w:usb0="E00002FF" w:usb1="6AC7FDFB" w:usb2="08000012" w:usb3="00000000" w:csb0="4002009F" w:csb1="DFD7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spacing w:line="192" w:lineRule="auto"/>
      <w:ind w:left="4080"/>
      <w:rPr>
        <w:rFonts w:hint="eastAsia" w:ascii="宋体" w:hAnsi="宋体" w:eastAsia="宋体" w:cs="宋体"/>
        <w:sz w:val="17"/>
        <w:szCs w:val="17"/>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3"/>
      <w:spacing w:line="14" w:lineRule="auto"/>
      <w:rPr>
        <w:sz w:val="20"/>
      </w:rPr>
    </w:pPr>
    <w:r>
      <w:rPr>
        <w:sz w:val="20"/>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4" name="文本框 4"/>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4"/>
                          </w:pPr>
                          <w:r>
                            <w:fldChar w:fldCharType="begin"/>
                          </w:r>
                          <w:r>
                            <w:instrText xml:space="preserve"> PAGE  \* MERGEFORMAT </w:instrText>
                          </w:r>
                          <w:r>
                            <w:fldChar w:fldCharType="separate"/>
                          </w:r>
                          <w:r>
                            <w:t>1</w:t>
                          </w:r>
                          <w:r>
                            <w:fldChar w:fldCharType="end"/>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">
              <v:fill on="f" focussize="0,0"/>
              <v:stroke on="f" weight="0.5pt"/>
              <v:imagedata o:title=""/>
              <o:lock v:ext="edit" aspectratio="f"/>
              <v:textbox inset="0mm,0mm,0mm,0mm" style="mso-fit-shape-to-text:t;">
                <w:txbxContent>
                  <w:p>
                    <w:pPr>
                      <w:pStyle w:val="4"/>
                    </w:pPr>
                    <w:r>
                      <w:fldChar w:fldCharType="begin"/>
                    </w:r>
                    <w:r>
                      <w:instrText xml:space="preserve"> PAGE  \* MERGEFORMAT </w:instrText>
                    </w:r>
                    <w:r>
                      <w:fldChar w:fldCharType="separate"/>
                    </w:r>
                    <w:r>
                      <w:t>1</w:t>
                    </w:r>
                    <w:r>
                      <w:fldChar w:fldCharType="end"/>
                    </w:r>
                  </w:p>
                </w:txbxContent>
              </v:textbox>
            </v:shape>
          </w:pict>
        </mc:Fallback>
      </mc:AlternateContent>
    </w: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2056ED31"/>
    <w:multiLevelType w:val="singleLevel"/>
    <w:tmpl w:val="2056ED31"/>
    <w:lvl w:ilvl="0" w:tentative="0">
      <w:start w:val="5"/>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embedTrueTypeFonts/>
  <w:saveSubsetFonts/>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2ExOTBhMjZhZTEyZWY1ODU1ODBjNzY3ZTUzNDFiYTEifQ=="/>
  </w:docVars>
  <w:rsids>
    <w:rsidRoot w:val="3AE355B8"/>
    <w:rsid w:val="00111FE5"/>
    <w:rsid w:val="001A4164"/>
    <w:rsid w:val="002F30EC"/>
    <w:rsid w:val="00326CC7"/>
    <w:rsid w:val="0036571C"/>
    <w:rsid w:val="0043010A"/>
    <w:rsid w:val="00463F36"/>
    <w:rsid w:val="005D38F9"/>
    <w:rsid w:val="00626FD7"/>
    <w:rsid w:val="006D3AF4"/>
    <w:rsid w:val="00713F1C"/>
    <w:rsid w:val="007C2A19"/>
    <w:rsid w:val="00A33B78"/>
    <w:rsid w:val="00A865DB"/>
    <w:rsid w:val="00CC4FDD"/>
    <w:rsid w:val="00D97C34"/>
    <w:rsid w:val="00E1053B"/>
    <w:rsid w:val="00E739B5"/>
    <w:rsid w:val="00E82D44"/>
    <w:rsid w:val="00EA7588"/>
    <w:rsid w:val="00F24DA6"/>
    <w:rsid w:val="00F525E6"/>
    <w:rsid w:val="00FB69E0"/>
    <w:rsid w:val="02F474A0"/>
    <w:rsid w:val="07504EC1"/>
    <w:rsid w:val="13385187"/>
    <w:rsid w:val="18EA221C"/>
    <w:rsid w:val="2A7E571E"/>
    <w:rsid w:val="2DD35D80"/>
    <w:rsid w:val="2E141BB7"/>
    <w:rsid w:val="2FFE78CA"/>
    <w:rsid w:val="350C1FCF"/>
    <w:rsid w:val="3AE355B8"/>
    <w:rsid w:val="3DBC1398"/>
    <w:rsid w:val="3EB47508"/>
    <w:rsid w:val="4B644064"/>
    <w:rsid w:val="4C6127C0"/>
    <w:rsid w:val="5E3B6EA6"/>
    <w:rsid w:val="67F0451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1"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kinsoku w:val="0"/>
      <w:autoSpaceDE w:val="0"/>
      <w:autoSpaceDN w:val="0"/>
      <w:adjustRightInd w:val="0"/>
      <w:snapToGrid w:val="0"/>
      <w:textAlignment w:val="baseline"/>
    </w:pPr>
    <w:rPr>
      <w:rFonts w:ascii="Arial" w:hAnsi="Arial" w:eastAsia="Arial" w:cs="Arial"/>
      <w:snapToGrid w:val="0"/>
      <w:color w:val="000000"/>
      <w:sz w:val="21"/>
      <w:szCs w:val="21"/>
      <w:lang w:val="en-US" w:eastAsia="zh-CN" w:bidi="ar-SA"/>
    </w:rPr>
  </w:style>
  <w:style w:type="paragraph" w:styleId="2">
    <w:name w:val="heading 3"/>
    <w:basedOn w:val="1"/>
    <w:next w:val="1"/>
    <w:unhideWhenUsed/>
    <w:qFormat/>
    <w:uiPriority w:val="0"/>
    <w:pPr>
      <w:spacing w:beforeAutospacing="1" w:afterAutospacing="1"/>
      <w:outlineLvl w:val="2"/>
    </w:pPr>
    <w:rPr>
      <w:rFonts w:hint="eastAsia" w:ascii="宋体" w:hAnsi="宋体" w:eastAsia="宋体" w:cs="Times New Roman"/>
      <w:b/>
      <w:bCs/>
      <w:sz w:val="27"/>
      <w:szCs w:val="27"/>
    </w:rPr>
  </w:style>
  <w:style w:type="character" w:default="1" w:styleId="7">
    <w:name w:val="Default Paragraph Font"/>
    <w:semiHidden/>
    <w:unhideWhenUsed/>
    <w:qFormat/>
    <w:uiPriority w:val="1"/>
  </w:style>
  <w:style w:type="table" w:default="1" w:styleId="5">
    <w:name w:val="Normal Table"/>
    <w:semiHidden/>
    <w:unhideWhenUsed/>
    <w:qFormat/>
    <w:uiPriority w:val="99"/>
    <w:tblPr>
      <w:tblCellMar>
        <w:top w:w="0" w:type="dxa"/>
        <w:left w:w="108" w:type="dxa"/>
        <w:bottom w:w="0" w:type="dxa"/>
        <w:right w:w="108" w:type="dxa"/>
      </w:tblCellMar>
    </w:tblPr>
  </w:style>
  <w:style w:type="paragraph" w:styleId="3">
    <w:name w:val="Body Text"/>
    <w:basedOn w:val="1"/>
    <w:qFormat/>
    <w:uiPriority w:val="1"/>
    <w:pPr>
      <w:ind w:left="640"/>
    </w:pPr>
    <w:rPr>
      <w:sz w:val="24"/>
      <w:szCs w:val="24"/>
    </w:rPr>
  </w:style>
  <w:style w:type="paragraph" w:styleId="4">
    <w:name w:val="footer"/>
    <w:basedOn w:val="1"/>
    <w:qFormat/>
    <w:uiPriority w:val="0"/>
    <w:pPr>
      <w:tabs>
        <w:tab w:val="center" w:pos="4153"/>
        <w:tab w:val="right" w:pos="8306"/>
      </w:tabs>
    </w:pPr>
    <w:rPr>
      <w:sz w:val="18"/>
    </w:rPr>
  </w:style>
  <w:style w:type="table" w:styleId="6">
    <w:name w:val="Table Grid"/>
    <w:basedOn w:val="5"/>
    <w:qFormat/>
    <w:uiPriority w:val="0"/>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8">
    <w:name w:val="Strong"/>
    <w:basedOn w:val="7"/>
    <w:qFormat/>
    <w:uiPriority w:val="0"/>
    <w:rPr>
      <w:b/>
    </w:rPr>
  </w:style>
  <w:style w:type="character" w:styleId="9">
    <w:name w:val="Hyperlink"/>
    <w:basedOn w:val="7"/>
    <w:qFormat/>
    <w:uiPriority w:val="0"/>
    <w:rPr>
      <w:color w:val="0026E5" w:themeColor="hyperlink"/>
      <w:u w:val="single"/>
      <w14:textFill>
        <w14:solidFill>
          <w14:schemeClr w14:val="hlink"/>
        </w14:solidFill>
      </w14:textFill>
    </w:rPr>
  </w:style>
  <w:style w:type="table" w:customStyle="1" w:styleId="10">
    <w:name w:val="Table Normal"/>
    <w:semiHidden/>
    <w:unhideWhenUsed/>
    <w:qFormat/>
    <w:uiPriority w:val="0"/>
    <w:tblPr>
      <w:tblCellMar>
        <w:top w:w="0" w:type="dxa"/>
        <w:left w:w="0" w:type="dxa"/>
        <w:bottom w:w="0" w:type="dxa"/>
        <w:right w:w="0" w:type="dxa"/>
      </w:tblCellMar>
    </w:tblPr>
  </w:style>
  <w:style w:type="paragraph" w:styleId="11">
    <w:name w:val="List Paragraph"/>
    <w:basedOn w:val="1"/>
    <w:qFormat/>
    <w:uiPriority w:val="99"/>
    <w:pPr>
      <w:ind w:left="720"/>
      <w:contextualSpacing/>
    </w:pPr>
  </w:style>
  <w:style w:type="table" w:customStyle="1" w:styleId="12">
    <w:name w:val="网格型1"/>
    <w:basedOn w:val="5"/>
    <w:qFormat/>
    <w:uiPriority w:val="59"/>
    <w:rPr>
      <w:rFonts w:eastAsia="宋体"/>
    </w:rPr>
    <w:tblP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Pr>
  </w:style>
  <w:style w:type="character" w:customStyle="1" w:styleId="13">
    <w:name w:val="Unresolved Mention"/>
    <w:basedOn w:val="7"/>
    <w:semiHidden/>
    <w:unhideWhenUsed/>
    <w:qFormat/>
    <w:uiPriority w:val="99"/>
    <w:rPr>
      <w:color w:val="605E5C"/>
      <w:shd w:val="clear" w:color="auto" w:fill="E1DFDD"/>
    </w:r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 Type="http://schemas.openxmlformats.org/officeDocument/2006/relationships/image" Target="media/image1.jpeg"/><Relationship Id="rId5" Type="http://schemas.openxmlformats.org/officeDocument/2006/relationships/theme" Target="theme/theme1.xml"/><Relationship Id="rId4" Type="http://schemas.openxmlformats.org/officeDocument/2006/relationships/footer" Target="footer2.xml"/><Relationship Id="rId32" Type="http://schemas.openxmlformats.org/officeDocument/2006/relationships/fontTable" Target="fontTable.xml"/><Relationship Id="rId31" Type="http://schemas.openxmlformats.org/officeDocument/2006/relationships/numbering" Target="numbering.xml"/><Relationship Id="rId30" Type="http://schemas.openxmlformats.org/officeDocument/2006/relationships/customXml" Target="../customXml/item1.xml"/><Relationship Id="rId3" Type="http://schemas.openxmlformats.org/officeDocument/2006/relationships/footer" Target="footer1.xml"/><Relationship Id="rId29" Type="http://schemas.openxmlformats.org/officeDocument/2006/relationships/image" Target="media/image24.png"/><Relationship Id="rId28" Type="http://schemas.openxmlformats.org/officeDocument/2006/relationships/image" Target="media/image23.jpeg"/><Relationship Id="rId27" Type="http://schemas.openxmlformats.org/officeDocument/2006/relationships/image" Target="media/image22.jpeg"/><Relationship Id="rId26" Type="http://schemas.openxmlformats.org/officeDocument/2006/relationships/image" Target="media/image21.jpeg"/><Relationship Id="rId25" Type="http://schemas.openxmlformats.org/officeDocument/2006/relationships/image" Target="media/image20.jpeg"/><Relationship Id="rId24" Type="http://schemas.openxmlformats.org/officeDocument/2006/relationships/image" Target="media/image19.jpeg"/><Relationship Id="rId23" Type="http://schemas.openxmlformats.org/officeDocument/2006/relationships/image" Target="media/image18.jpeg"/><Relationship Id="rId22" Type="http://schemas.openxmlformats.org/officeDocument/2006/relationships/image" Target="media/image17.jpeg"/><Relationship Id="rId21" Type="http://schemas.openxmlformats.org/officeDocument/2006/relationships/image" Target="media/image16.png"/><Relationship Id="rId20" Type="http://schemas.openxmlformats.org/officeDocument/2006/relationships/image" Target="media/image15.png"/><Relationship Id="rId2" Type="http://schemas.openxmlformats.org/officeDocument/2006/relationships/settings" Target="settings.xml"/><Relationship Id="rId19" Type="http://schemas.openxmlformats.org/officeDocument/2006/relationships/image" Target="media/image14.png"/><Relationship Id="rId18" Type="http://schemas.openxmlformats.org/officeDocument/2006/relationships/image" Target="media/image13.png"/><Relationship Id="rId17" Type="http://schemas.openxmlformats.org/officeDocument/2006/relationships/image" Target="media/image12.pn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png"/><Relationship Id="rId12" Type="http://schemas.openxmlformats.org/officeDocument/2006/relationships/image" Target="media/image7.jpeg"/><Relationship Id="rId11" Type="http://schemas.openxmlformats.org/officeDocument/2006/relationships/image" Target="media/image6.png"/><Relationship Id="rId10" Type="http://schemas.openxmlformats.org/officeDocument/2006/relationships/image" Target="media/image5.png"/><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WPS">
  <a:themeElements>
    <a:clrScheme name="WPS">
      <a:dk1>
        <a:sysClr val="windowText" lastClr="000000"/>
      </a:dk1>
      <a:lt1>
        <a:sysClr val="window" lastClr="FFFFFF"/>
      </a:lt1>
      <a:dk2>
        <a:srgbClr val="44546A"/>
      </a:dk2>
      <a:lt2>
        <a:srgbClr val="E7E6E6"/>
      </a:lt2>
      <a:accent1>
        <a:srgbClr val="4874CB"/>
      </a:accent1>
      <a:accent2>
        <a:srgbClr val="EE822F"/>
      </a:accent2>
      <a:accent3>
        <a:srgbClr val="F2BA02"/>
      </a:accent3>
      <a:accent4>
        <a:srgbClr val="75BD42"/>
      </a:accent4>
      <a:accent5>
        <a:srgbClr val="30C0B4"/>
      </a:accent5>
      <a:accent6>
        <a:srgbClr val="E54C5E"/>
      </a:accent6>
      <a:hlink>
        <a:srgbClr val="0026E5"/>
      </a:hlink>
      <a:folHlink>
        <a:srgbClr val="7E1FAD"/>
      </a:folHlink>
    </a:clrScheme>
    <a:fontScheme name="WPS">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WPS">
      <a:fillStyleLst>
        <a:solidFill>
          <a:schemeClr val="phClr"/>
        </a:solidFill>
        <a:gradFill>
          <a:gsLst>
            <a:gs pos="0">
              <a:schemeClr val="phClr">
                <a:lumOff val="17500"/>
              </a:schemeClr>
            </a:gs>
            <a:gs pos="100000">
              <a:schemeClr val="phClr"/>
            </a:gs>
          </a:gsLst>
          <a:lin ang="2700000" scaled="0"/>
        </a:gradFill>
        <a:gradFill>
          <a:gsLst>
            <a:gs pos="0">
              <a:schemeClr val="phClr">
                <a:hueOff val="-2520000"/>
              </a:schemeClr>
            </a:gs>
            <a:gs pos="100000">
              <a:schemeClr val="phClr"/>
            </a:gs>
          </a:gsLst>
          <a:lin ang="2700000" scaled="0"/>
        </a:gradFill>
      </a:fillStyleLst>
      <a:lnStyleLst>
        <a:ln w="12700" cap="flat" cmpd="sng" algn="ctr">
          <a:solidFill>
            <a:schemeClr val="phClr"/>
          </a:solidFill>
          <a:prstDash val="solid"/>
          <a:miter lim="800000"/>
        </a:ln>
        <a:ln w="12700" cap="flat" cmpd="sng" algn="ctr">
          <a:solidFill>
            <a:schemeClr val="phClr"/>
          </a:solidFill>
          <a:prstDash val="solid"/>
          <a:miter lim="800000"/>
        </a:ln>
        <a:ln w="12700" cap="flat" cmpd="sng" algn="ctr">
          <a:gradFill>
            <a:gsLst>
              <a:gs pos="0">
                <a:schemeClr val="phClr">
                  <a:hueOff val="-4200000"/>
                </a:schemeClr>
              </a:gs>
              <a:gs pos="100000">
                <a:schemeClr val="phClr"/>
              </a:gs>
            </a:gsLst>
            <a:lin ang="2700000" scaled="1"/>
          </a:gradFill>
          <a:prstDash val="solid"/>
          <a:miter lim="800000"/>
        </a:ln>
      </a:lnStyleLst>
      <a:effectStyleLst>
        <a:effectStyle>
          <a:effectLst>
            <a:outerShdw blurRad="101600" dist="50800" dir="5400000" algn="ctr" rotWithShape="0">
              <a:schemeClr val="phClr">
                <a:alpha val="60000"/>
              </a:schemeClr>
            </a:outerShdw>
          </a:effectLst>
        </a:effectStyle>
        <a:effectStyle>
          <a:effectLst>
            <a:reflection stA="50000" endA="300" endPos="40000" dist="25400" dir="5400000" sy="-100000" algn="bl" rotWithShape="0"/>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Normal.dotm</Template>
  <Pages>19</Pages>
  <Words>7797</Words>
  <Characters>8055</Characters>
  <Lines>61</Lines>
  <Paragraphs>17</Paragraphs>
  <TotalTime>23</TotalTime>
  <ScaleCrop>false</ScaleCrop>
  <LinksUpToDate>false</LinksUpToDate>
  <CharactersWithSpaces>8277</CharactersWithSpaces>
  <Application>WPS Office_11.1.0.13703_F1E327BC-269C-435d-A152-05C5408002CA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2026-01-22T05:30:00Z</dcterms:created>
  <dc:creator>Kurisu</dc:creator>
  <cp:lastModifiedBy>姚丽影</cp:lastModifiedBy>
  <dcterms:modified xsi:type="dcterms:W3CDTF">2026-03-20T07:27:18Z</dcterms:modified>
  <cp:revision>17</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2052-11.1.0.13703</vt:lpwstr>
  </property>
  <property fmtid="{D5CDD505-2E9C-101B-9397-08002B2CF9AE}" pid="3" name="ICV">
    <vt:lpwstr>3D76981BA86F4B779B3EB849CD97B067_11</vt:lpwstr>
  </property>
  <property fmtid="{D5CDD505-2E9C-101B-9397-08002B2CF9AE}" pid="4" name="KSOTemplateDocerSaveRecord">
    <vt:lpwstr>eyJoZGlkIjoiZGRiY2MzMGVkM2JmN2IxN2ZjYjZiNjYwOTQ0MzIxZDciLCJ1c2VySWQiOiIxMjQwNTAxMTU1In0=</vt:lpwstr>
  </property>
</Properties>
</file>